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B1" w:rsidRPr="006E18E9" w:rsidRDefault="007454D5" w:rsidP="008F54B1">
      <w:pPr>
        <w:jc w:val="center"/>
        <w:rPr>
          <w:b/>
          <w:sz w:val="44"/>
          <w:szCs w:val="44"/>
        </w:rPr>
      </w:pPr>
      <w:bookmarkStart w:id="0" w:name="_GoBack"/>
      <w:bookmarkEnd w:id="0"/>
      <w:r w:rsidRPr="007454D5">
        <w:rPr>
          <w:b/>
          <w:bCs/>
          <w:noProof/>
          <w:sz w:val="44"/>
          <w:szCs w:val="44"/>
          <w:lang w:val="en-GB" w:eastAsia="en-GB"/>
        </w:rPr>
        <w:drawing>
          <wp:anchor distT="0" distB="0" distL="114300" distR="114300" simplePos="0" relativeHeight="251659264" behindDoc="0" locked="0" layoutInCell="1" allowOverlap="1" wp14:anchorId="0F454B63" wp14:editId="7069CF08">
            <wp:simplePos x="0" y="0"/>
            <wp:positionH relativeFrom="page">
              <wp:posOffset>311785</wp:posOffset>
            </wp:positionH>
            <wp:positionV relativeFrom="page">
              <wp:posOffset>234315</wp:posOffset>
            </wp:positionV>
            <wp:extent cx="1114425" cy="523875"/>
            <wp:effectExtent l="0" t="0" r="9525" b="9525"/>
            <wp:wrapTopAndBottom/>
            <wp:docPr id="11" name="Picture 17" descr="unfpa_logo_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unfpa_logo_letterhead"/>
                    <pic:cNvPicPr preferRelativeResize="0">
                      <a:picLocks noChangeArrowheads="1"/>
                    </pic:cNvPicPr>
                  </pic:nvPicPr>
                  <pic:blipFill>
                    <a:blip r:embed="rId9" cstate="print"/>
                    <a:srcRect/>
                    <a:stretch>
                      <a:fillRect/>
                    </a:stretch>
                  </pic:blipFill>
                  <pic:spPr bwMode="auto">
                    <a:xfrm>
                      <a:off x="0" y="0"/>
                      <a:ext cx="1114425" cy="523875"/>
                    </a:xfrm>
                    <a:prstGeom prst="rect">
                      <a:avLst/>
                    </a:prstGeom>
                    <a:noFill/>
                    <a:ln w="9525">
                      <a:noFill/>
                      <a:miter lim="800000"/>
                      <a:headEnd/>
                      <a:tailEnd/>
                    </a:ln>
                  </pic:spPr>
                </pic:pic>
              </a:graphicData>
            </a:graphic>
          </wp:anchor>
        </w:drawing>
      </w:r>
      <w:r w:rsidRPr="006E18E9">
        <w:rPr>
          <w:b/>
          <w:sz w:val="44"/>
          <w:szCs w:val="44"/>
        </w:rPr>
        <w:t>ACCORD</w:t>
      </w:r>
      <w:r w:rsidR="006E18E9" w:rsidRPr="006E18E9">
        <w:rPr>
          <w:b/>
          <w:sz w:val="44"/>
          <w:szCs w:val="44"/>
        </w:rPr>
        <w:t xml:space="preserve"> À</w:t>
      </w:r>
      <w:r w:rsidR="006E18E9">
        <w:rPr>
          <w:b/>
          <w:sz w:val="44"/>
          <w:szCs w:val="44"/>
        </w:rPr>
        <w:t xml:space="preserve"> LONG-</w:t>
      </w:r>
      <w:r w:rsidRPr="006E18E9">
        <w:rPr>
          <w:b/>
          <w:sz w:val="44"/>
          <w:szCs w:val="44"/>
        </w:rPr>
        <w:t>TERME</w:t>
      </w:r>
    </w:p>
    <w:p w:rsidR="008F54B1" w:rsidRDefault="008F54B1" w:rsidP="006E18E9">
      <w:pPr>
        <w:rPr>
          <w:b/>
        </w:rPr>
      </w:pPr>
    </w:p>
    <w:p w:rsidR="008F54B1" w:rsidRDefault="008F54B1" w:rsidP="006E18E9">
      <w:pPr>
        <w:rPr>
          <w:b/>
        </w:rPr>
      </w:pPr>
    </w:p>
    <w:p w:rsidR="008F54B1" w:rsidRDefault="008F54B1" w:rsidP="006E18E9">
      <w:pPr>
        <w:rPr>
          <w:b/>
        </w:rPr>
      </w:pPr>
    </w:p>
    <w:p w:rsidR="008F54B1" w:rsidRPr="00F5677C" w:rsidRDefault="00845E61" w:rsidP="006E18E9">
      <w:pPr>
        <w:rPr>
          <w:i/>
          <w:lang w:val="en-GB"/>
        </w:rPr>
      </w:pPr>
      <w:r w:rsidRPr="00845E61">
        <w:rPr>
          <w:b/>
        </w:rPr>
        <w:t>ACCORD</w:t>
      </w:r>
      <w:r w:rsidR="006E18E9" w:rsidRPr="00845E61">
        <w:rPr>
          <w:b/>
        </w:rPr>
        <w:t xml:space="preserve"> No. : </w:t>
      </w:r>
      <w:r w:rsidR="006E18E9" w:rsidRPr="00845E61">
        <w:rPr>
          <w:i/>
          <w:highlight w:val="yellow"/>
        </w:rPr>
        <w:t>ANNÉE/No.</w:t>
      </w:r>
      <w:r>
        <w:tab/>
      </w:r>
      <w:r>
        <w:tab/>
      </w:r>
      <w:r>
        <w:tab/>
      </w:r>
      <w:r>
        <w:tab/>
      </w:r>
      <w:r>
        <w:tab/>
      </w:r>
      <w:r>
        <w:tab/>
      </w:r>
      <w:r w:rsidR="006E18E9" w:rsidRPr="00F5677C">
        <w:rPr>
          <w:b/>
          <w:lang w:val="en-GB"/>
        </w:rPr>
        <w:t>Date:</w:t>
      </w:r>
      <w:r w:rsidR="006E18E9" w:rsidRPr="00F5677C">
        <w:rPr>
          <w:i/>
          <w:lang w:val="en-GB"/>
        </w:rPr>
        <w:t> JJ/MM/AAAA</w:t>
      </w:r>
    </w:p>
    <w:p w:rsidR="006E18E9" w:rsidRPr="00F5677C" w:rsidRDefault="006E18E9" w:rsidP="006E18E9">
      <w:pPr>
        <w:rPr>
          <w:i/>
          <w:lang w:val="en-GB"/>
        </w:rPr>
      </w:pPr>
    </w:p>
    <w:p w:rsidR="006E18E9" w:rsidRPr="006E18E9" w:rsidRDefault="006E18E9" w:rsidP="006E18E9">
      <w:pPr>
        <w:jc w:val="center"/>
        <w:rPr>
          <w:lang w:val="en-GB"/>
        </w:rPr>
      </w:pPr>
      <w:r w:rsidRPr="006E18E9">
        <w:rPr>
          <w:b/>
          <w:bCs/>
          <w:lang w:val="en-GB"/>
        </w:rPr>
        <w:t>THE UNITED NATIONS POPULATION FUND (UNFPA</w:t>
      </w:r>
      <w:r w:rsidRPr="006E18E9">
        <w:rPr>
          <w:lang w:val="en-GB"/>
        </w:rPr>
        <w:t>)</w:t>
      </w:r>
    </w:p>
    <w:p w:rsidR="006E18E9" w:rsidRPr="006E18E9" w:rsidRDefault="006E18E9" w:rsidP="006E18E9">
      <w:pPr>
        <w:jc w:val="center"/>
        <w:rPr>
          <w:b/>
          <w:bCs/>
          <w:lang w:val="en-GB"/>
        </w:rPr>
      </w:pPr>
      <w:r w:rsidRPr="006E18E9">
        <w:rPr>
          <w:b/>
          <w:bCs/>
          <w:lang w:val="en-GB"/>
        </w:rPr>
        <w:t>605 Third Avenue</w:t>
      </w:r>
    </w:p>
    <w:p w:rsidR="006E18E9" w:rsidRPr="006E18E9" w:rsidRDefault="006E18E9" w:rsidP="006E18E9">
      <w:pPr>
        <w:jc w:val="center"/>
        <w:rPr>
          <w:b/>
          <w:bCs/>
          <w:lang w:val="en-GB"/>
        </w:rPr>
      </w:pPr>
      <w:r w:rsidRPr="006E18E9">
        <w:rPr>
          <w:b/>
          <w:bCs/>
          <w:lang w:val="en-GB"/>
        </w:rPr>
        <w:t>New York, NY 10158, USA</w:t>
      </w:r>
    </w:p>
    <w:p w:rsidR="006E18E9" w:rsidRPr="00440719" w:rsidRDefault="006E18E9" w:rsidP="006E18E9">
      <w:pPr>
        <w:jc w:val="center"/>
        <w:rPr>
          <w:b/>
          <w:bCs/>
        </w:rPr>
      </w:pPr>
      <w:r w:rsidRPr="00440719">
        <w:rPr>
          <w:b/>
          <w:bCs/>
        </w:rPr>
        <w:t>Fax: +1 212 297 4916</w:t>
      </w:r>
    </w:p>
    <w:p w:rsidR="006E18E9" w:rsidRPr="00440719" w:rsidRDefault="006E18E9" w:rsidP="006E18E9">
      <w:pPr>
        <w:jc w:val="center"/>
      </w:pPr>
    </w:p>
    <w:p w:rsidR="007454D5" w:rsidRDefault="006E18E9" w:rsidP="007454D5">
      <w:pPr>
        <w:jc w:val="center"/>
        <w:rPr>
          <w:b/>
        </w:rPr>
      </w:pPr>
      <w:r w:rsidRPr="00845E61">
        <w:rPr>
          <w:b/>
        </w:rPr>
        <w:t>Souhaite</w:t>
      </w:r>
      <w:r w:rsidR="008F54B1" w:rsidRPr="00845E61">
        <w:rPr>
          <w:b/>
        </w:rPr>
        <w:t xml:space="preserve"> passer</w:t>
      </w:r>
      <w:r w:rsidRPr="00845E61">
        <w:rPr>
          <w:b/>
        </w:rPr>
        <w:t xml:space="preserve"> un </w:t>
      </w:r>
      <w:r w:rsidRPr="006E18E9">
        <w:rPr>
          <w:b/>
        </w:rPr>
        <w:t>accor</w:t>
      </w:r>
      <w:r>
        <w:rPr>
          <w:b/>
        </w:rPr>
        <w:t>d</w:t>
      </w:r>
      <w:r w:rsidRPr="006E18E9">
        <w:rPr>
          <w:b/>
        </w:rPr>
        <w:t xml:space="preserve"> à</w:t>
      </w:r>
      <w:r w:rsidR="00221F7E">
        <w:rPr>
          <w:b/>
        </w:rPr>
        <w:t xml:space="preserve"> long-terme</w:t>
      </w:r>
    </w:p>
    <w:p w:rsidR="006E18E9" w:rsidRDefault="006E18E9" w:rsidP="007454D5">
      <w:pPr>
        <w:jc w:val="center"/>
        <w:rPr>
          <w:b/>
        </w:rPr>
      </w:pPr>
    </w:p>
    <w:p w:rsidR="006E18E9" w:rsidRDefault="006E18E9" w:rsidP="007454D5">
      <w:pPr>
        <w:jc w:val="center"/>
        <w:rPr>
          <w:b/>
        </w:rPr>
      </w:pPr>
      <w:r>
        <w:rPr>
          <w:b/>
        </w:rPr>
        <w:t>Avec</w:t>
      </w:r>
    </w:p>
    <w:p w:rsidR="006E18E9" w:rsidRDefault="006E18E9" w:rsidP="007454D5">
      <w:pPr>
        <w:jc w:val="center"/>
        <w:rPr>
          <w:b/>
        </w:rPr>
      </w:pPr>
    </w:p>
    <w:p w:rsidR="006E18E9" w:rsidRPr="006E18E9" w:rsidRDefault="006E18E9" w:rsidP="006E18E9">
      <w:pPr>
        <w:jc w:val="center"/>
        <w:rPr>
          <w:b/>
          <w:i/>
          <w:highlight w:val="yellow"/>
        </w:rPr>
      </w:pPr>
      <w:r w:rsidRPr="006E18E9">
        <w:rPr>
          <w:b/>
          <w:i/>
          <w:highlight w:val="yellow"/>
        </w:rPr>
        <w:t>Vendeur</w:t>
      </w:r>
    </w:p>
    <w:p w:rsidR="006E18E9" w:rsidRPr="006E18E9" w:rsidRDefault="006E18E9" w:rsidP="006E18E9">
      <w:pPr>
        <w:jc w:val="center"/>
        <w:rPr>
          <w:b/>
          <w:i/>
          <w:highlight w:val="yellow"/>
        </w:rPr>
      </w:pPr>
      <w:r w:rsidRPr="006E18E9">
        <w:rPr>
          <w:b/>
          <w:i/>
          <w:highlight w:val="yellow"/>
        </w:rPr>
        <w:t>Adresse du vendeur</w:t>
      </w:r>
    </w:p>
    <w:p w:rsidR="006E18E9" w:rsidRPr="006E18E9" w:rsidRDefault="006E18E9" w:rsidP="006E18E9">
      <w:pPr>
        <w:jc w:val="center"/>
        <w:rPr>
          <w:b/>
          <w:i/>
          <w:highlight w:val="yellow"/>
        </w:rPr>
      </w:pPr>
      <w:r w:rsidRPr="006E18E9">
        <w:rPr>
          <w:b/>
          <w:i/>
          <w:highlight w:val="yellow"/>
        </w:rPr>
        <w:t>Numéro de téléphone – fax</w:t>
      </w:r>
    </w:p>
    <w:p w:rsidR="006E18E9" w:rsidRDefault="006E18E9" w:rsidP="006E18E9">
      <w:pPr>
        <w:jc w:val="center"/>
        <w:rPr>
          <w:b/>
          <w:i/>
        </w:rPr>
      </w:pPr>
      <w:r w:rsidRPr="006E18E9">
        <w:rPr>
          <w:b/>
          <w:i/>
          <w:highlight w:val="yellow"/>
        </w:rPr>
        <w:t>ADRESSE e-mail</w:t>
      </w:r>
    </w:p>
    <w:p w:rsidR="00BA58EC" w:rsidRDefault="00BA58EC" w:rsidP="006E18E9">
      <w:pPr>
        <w:jc w:val="center"/>
        <w:rPr>
          <w:b/>
          <w:i/>
        </w:rPr>
      </w:pPr>
    </w:p>
    <w:p w:rsidR="008F54B1" w:rsidRDefault="008F54B1" w:rsidP="006E18E9">
      <w:pPr>
        <w:jc w:val="center"/>
        <w:rPr>
          <w:b/>
          <w:i/>
        </w:rPr>
      </w:pPr>
    </w:p>
    <w:p w:rsidR="00BA58EC" w:rsidRDefault="00BA58EC" w:rsidP="006E18E9">
      <w:pPr>
        <w:jc w:val="center"/>
        <w:rPr>
          <w:b/>
          <w:szCs w:val="20"/>
        </w:rPr>
      </w:pPr>
      <w:r>
        <w:rPr>
          <w:b/>
          <w:szCs w:val="20"/>
        </w:rPr>
        <w:t>Pour la commande directe de</w:t>
      </w:r>
    </w:p>
    <w:p w:rsidR="00BA58EC" w:rsidRDefault="00BA58EC" w:rsidP="006E18E9">
      <w:pPr>
        <w:jc w:val="center"/>
        <w:rPr>
          <w:b/>
          <w:szCs w:val="20"/>
        </w:rPr>
      </w:pPr>
    </w:p>
    <w:p w:rsidR="00BA58EC" w:rsidRPr="00BA58EC" w:rsidRDefault="00BA58EC" w:rsidP="006E18E9">
      <w:pPr>
        <w:jc w:val="center"/>
        <w:rPr>
          <w:b/>
          <w:i/>
        </w:rPr>
      </w:pPr>
      <w:r>
        <w:rPr>
          <w:b/>
          <w:i/>
          <w:highlight w:val="yellow"/>
        </w:rPr>
        <w:t xml:space="preserve">DESCRIPTION </w:t>
      </w:r>
      <w:r w:rsidRPr="00BA58EC">
        <w:rPr>
          <w:b/>
          <w:i/>
          <w:highlight w:val="yellow"/>
        </w:rPr>
        <w:t>DES PRODUITS ET/OU DES SERVICES DEVANT ÊTRE</w:t>
      </w:r>
      <w:r w:rsidR="007D4742">
        <w:rPr>
          <w:b/>
          <w:i/>
          <w:highlight w:val="yellow"/>
        </w:rPr>
        <w:t xml:space="preserve"> FOURNIS</w:t>
      </w:r>
      <w:r w:rsidR="00221F7E">
        <w:rPr>
          <w:b/>
          <w:i/>
          <w:highlight w:val="yellow"/>
        </w:rPr>
        <w:t xml:space="preserve"> SELON </w:t>
      </w:r>
      <w:r w:rsidR="00221F7E" w:rsidRPr="00221F7E">
        <w:rPr>
          <w:b/>
          <w:i/>
          <w:highlight w:val="yellow"/>
        </w:rPr>
        <w:t>CET ACCORD</w:t>
      </w:r>
    </w:p>
    <w:p w:rsidR="00BA58EC" w:rsidRDefault="00BA58EC" w:rsidP="006E18E9">
      <w:pPr>
        <w:jc w:val="center"/>
        <w:rPr>
          <w:b/>
        </w:rPr>
      </w:pPr>
    </w:p>
    <w:p w:rsidR="00BA58EC" w:rsidRDefault="00F33435" w:rsidP="00BA58EC">
      <w:pPr>
        <w:rPr>
          <w:b/>
        </w:rPr>
      </w:pPr>
      <w:r>
        <w:rPr>
          <w:b/>
        </w:rPr>
        <w:t>Comme stipulé dans le document joint</w:t>
      </w:r>
    </w:p>
    <w:p w:rsidR="00BA58EC" w:rsidRDefault="00BA58EC" w:rsidP="00BA58EC">
      <w:pPr>
        <w:rPr>
          <w:b/>
        </w:rPr>
      </w:pPr>
    </w:p>
    <w:tbl>
      <w:tblPr>
        <w:tblW w:w="10080" w:type="dxa"/>
        <w:tblInd w:w="-72"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029"/>
        <w:gridCol w:w="5051"/>
      </w:tblGrid>
      <w:tr w:rsidR="00BA58EC" w:rsidRPr="00EF44D2" w:rsidTr="00BA58EC">
        <w:trPr>
          <w:cantSplit/>
          <w:trHeight w:val="1388"/>
        </w:trPr>
        <w:tc>
          <w:tcPr>
            <w:tcW w:w="5029" w:type="dxa"/>
            <w:vMerge w:val="restart"/>
          </w:tcPr>
          <w:p w:rsidR="00BA58EC" w:rsidRPr="0068047E" w:rsidRDefault="008F54B1" w:rsidP="00320D13">
            <w:pPr>
              <w:pStyle w:val="BodyText"/>
              <w:tabs>
                <w:tab w:val="right" w:pos="2142"/>
              </w:tabs>
              <w:rPr>
                <w:rFonts w:ascii="Century Gothic" w:hAnsi="Century Gothic"/>
                <w:bCs/>
                <w:sz w:val="20"/>
                <w:lang w:val="fr-FR"/>
              </w:rPr>
            </w:pPr>
            <w:r>
              <w:rPr>
                <w:rFonts w:ascii="Century Gothic" w:hAnsi="Century Gothic"/>
                <w:bCs/>
                <w:sz w:val="20"/>
                <w:lang w:val="fr-FR"/>
              </w:rPr>
              <w:t xml:space="preserve">LES </w:t>
            </w:r>
            <w:r w:rsidR="00320D13" w:rsidRPr="0068047E">
              <w:rPr>
                <w:rFonts w:ascii="Century Gothic" w:hAnsi="Century Gothic"/>
                <w:bCs/>
                <w:sz w:val="20"/>
                <w:lang w:val="fr-FR"/>
              </w:rPr>
              <w:t>CONDITIONS GÉNÉRALES DE L’UNFPA</w:t>
            </w:r>
            <w:r w:rsidR="00941EAD" w:rsidRPr="0068047E">
              <w:rPr>
                <w:rFonts w:ascii="Century Gothic" w:hAnsi="Century Gothic"/>
                <w:bCs/>
                <w:sz w:val="20"/>
                <w:lang w:val="fr-FR"/>
              </w:rPr>
              <w:t xml:space="preserve"> APPLICABLES</w:t>
            </w:r>
            <w:r w:rsidR="00320D13" w:rsidRPr="0068047E">
              <w:rPr>
                <w:rFonts w:ascii="Century Gothic" w:hAnsi="Century Gothic"/>
                <w:bCs/>
                <w:sz w:val="20"/>
                <w:lang w:val="fr-FR"/>
              </w:rPr>
              <w:t xml:space="preserve"> AUX CONTRATS </w:t>
            </w:r>
            <w:r w:rsidR="00941EAD" w:rsidRPr="0068047E">
              <w:rPr>
                <w:rFonts w:ascii="Century Gothic" w:hAnsi="Century Gothic"/>
                <w:bCs/>
                <w:sz w:val="20"/>
                <w:lang w:val="fr-FR"/>
              </w:rPr>
              <w:t>RELATIFS À LA FOURNITURE DE BIENS ET</w:t>
            </w:r>
            <w:r w:rsidR="00320D13" w:rsidRPr="0068047E">
              <w:rPr>
                <w:rFonts w:ascii="Century Gothic" w:hAnsi="Century Gothic"/>
                <w:bCs/>
                <w:sz w:val="20"/>
                <w:lang w:val="fr-FR"/>
              </w:rPr>
              <w:t xml:space="preserve"> DE SERVICES (ANNEXE 1) ET </w:t>
            </w:r>
            <w:r>
              <w:rPr>
                <w:rFonts w:ascii="Century Gothic" w:hAnsi="Century Gothic"/>
                <w:bCs/>
                <w:sz w:val="20"/>
                <w:lang w:val="fr-FR"/>
              </w:rPr>
              <w:t xml:space="preserve">LES </w:t>
            </w:r>
            <w:r w:rsidR="00320D13" w:rsidRPr="0068047E">
              <w:rPr>
                <w:rFonts w:ascii="Century Gothic" w:hAnsi="Century Gothic"/>
                <w:bCs/>
                <w:sz w:val="20"/>
                <w:lang w:val="fr-FR"/>
              </w:rPr>
              <w:t>TERMES DE RÉFÉRENCE (ANNEXE 2) CI-JOINTS S’APPLIQUENT</w:t>
            </w:r>
          </w:p>
          <w:p w:rsidR="00320D13" w:rsidRPr="0068047E" w:rsidRDefault="00320D13" w:rsidP="00320D13">
            <w:pPr>
              <w:pStyle w:val="BodyText"/>
              <w:tabs>
                <w:tab w:val="right" w:pos="2142"/>
              </w:tabs>
              <w:rPr>
                <w:rFonts w:ascii="Century Gothic" w:hAnsi="Century Gothic"/>
                <w:bCs/>
                <w:sz w:val="20"/>
                <w:lang w:val="fr-FR"/>
              </w:rPr>
            </w:pPr>
          </w:p>
          <w:p w:rsidR="00320D13" w:rsidRPr="0068047E" w:rsidRDefault="00320D13" w:rsidP="00320D13">
            <w:pPr>
              <w:pStyle w:val="BodyText"/>
              <w:tabs>
                <w:tab w:val="right" w:pos="2142"/>
              </w:tabs>
              <w:rPr>
                <w:rFonts w:ascii="Century Gothic" w:hAnsi="Century Gothic"/>
                <w:bCs/>
                <w:i/>
                <w:sz w:val="20"/>
                <w:lang w:val="fr-FR"/>
              </w:rPr>
            </w:pPr>
            <w:r w:rsidRPr="0068047E">
              <w:rPr>
                <w:rFonts w:ascii="Century Gothic" w:hAnsi="Century Gothic"/>
                <w:bCs/>
                <w:sz w:val="20"/>
                <w:lang w:val="fr-FR"/>
              </w:rPr>
              <w:t xml:space="preserve">Numéro de vendeur:                         </w:t>
            </w:r>
            <w:r w:rsidRPr="0068047E">
              <w:rPr>
                <w:rFonts w:ascii="Century Gothic" w:hAnsi="Century Gothic"/>
                <w:bCs/>
                <w:i/>
                <w:sz w:val="20"/>
                <w:highlight w:val="yellow"/>
                <w:lang w:val="fr-FR"/>
              </w:rPr>
              <w:t>No.</w:t>
            </w:r>
          </w:p>
          <w:p w:rsidR="00320D13" w:rsidRPr="0068047E" w:rsidRDefault="00320D13" w:rsidP="00EF44D2">
            <w:pPr>
              <w:pStyle w:val="BodyText"/>
              <w:tabs>
                <w:tab w:val="right" w:pos="2142"/>
              </w:tabs>
              <w:jc w:val="left"/>
              <w:rPr>
                <w:rFonts w:ascii="Century Gothic" w:hAnsi="Century Gothic"/>
                <w:bCs/>
                <w:sz w:val="20"/>
                <w:lang w:val="fr-FR"/>
              </w:rPr>
            </w:pPr>
          </w:p>
          <w:p w:rsidR="00EF44D2" w:rsidRDefault="00320D13" w:rsidP="00EF44D2">
            <w:pPr>
              <w:pStyle w:val="BodyText"/>
              <w:tabs>
                <w:tab w:val="right" w:pos="2142"/>
              </w:tabs>
              <w:jc w:val="left"/>
              <w:rPr>
                <w:rFonts w:ascii="Century Gothic" w:hAnsi="Century Gothic"/>
                <w:bCs/>
                <w:i/>
                <w:sz w:val="20"/>
                <w:highlight w:val="yellow"/>
                <w:lang w:val="fr-FR"/>
              </w:rPr>
            </w:pPr>
            <w:r w:rsidRPr="0068047E">
              <w:rPr>
                <w:rFonts w:ascii="Century Gothic" w:hAnsi="Century Gothic"/>
                <w:bCs/>
                <w:sz w:val="20"/>
                <w:lang w:val="fr-FR"/>
              </w:rPr>
              <w:t xml:space="preserve">DEMANDES À ENVOYER À: </w:t>
            </w:r>
            <w:r w:rsidR="00EF44D2">
              <w:rPr>
                <w:rFonts w:ascii="Century Gothic" w:hAnsi="Century Gothic"/>
                <w:bCs/>
                <w:i/>
                <w:sz w:val="20"/>
                <w:highlight w:val="yellow"/>
                <w:lang w:val="fr-FR"/>
              </w:rPr>
              <w:t>NOM DU POINT FOCAL</w:t>
            </w:r>
          </w:p>
          <w:p w:rsidR="00320D13" w:rsidRPr="0068047E" w:rsidRDefault="00320D13" w:rsidP="00EF44D2">
            <w:pPr>
              <w:pStyle w:val="BodyText"/>
              <w:tabs>
                <w:tab w:val="right" w:pos="2142"/>
              </w:tabs>
              <w:jc w:val="right"/>
              <w:rPr>
                <w:rFonts w:ascii="Century Gothic" w:hAnsi="Century Gothic"/>
                <w:bCs/>
                <w:i/>
                <w:sz w:val="20"/>
                <w:lang w:val="fr-FR"/>
              </w:rPr>
            </w:pPr>
            <w:r w:rsidRPr="0068047E">
              <w:rPr>
                <w:rFonts w:ascii="Century Gothic" w:hAnsi="Century Gothic"/>
                <w:bCs/>
                <w:i/>
                <w:sz w:val="20"/>
                <w:highlight w:val="yellow"/>
                <w:lang w:val="fr-FR"/>
              </w:rPr>
              <w:t>UNFPA</w:t>
            </w:r>
          </w:p>
          <w:p w:rsidR="00320D13" w:rsidRPr="00320D13" w:rsidRDefault="00320D13" w:rsidP="00EF44D2">
            <w:pPr>
              <w:pStyle w:val="BodyText"/>
              <w:tabs>
                <w:tab w:val="right" w:pos="2142"/>
              </w:tabs>
              <w:jc w:val="right"/>
              <w:rPr>
                <w:rFonts w:ascii="Century Gothic" w:hAnsi="Century Gothic"/>
                <w:bCs/>
                <w:i/>
                <w:sz w:val="20"/>
                <w:lang w:val="es-AR"/>
              </w:rPr>
            </w:pPr>
            <w:r w:rsidRPr="00320D13">
              <w:rPr>
                <w:rFonts w:ascii="Century Gothic" w:hAnsi="Century Gothic"/>
                <w:bCs/>
                <w:i/>
                <w:sz w:val="20"/>
                <w:highlight w:val="yellow"/>
                <w:lang w:val="es-AR"/>
              </w:rPr>
              <w:t>ADRESSE E-MAIL</w:t>
            </w:r>
          </w:p>
        </w:tc>
        <w:tc>
          <w:tcPr>
            <w:tcW w:w="5051" w:type="dxa"/>
            <w:tcBorders>
              <w:top w:val="single" w:sz="4" w:space="0" w:color="auto"/>
              <w:bottom w:val="single" w:sz="4" w:space="0" w:color="auto"/>
            </w:tcBorders>
          </w:tcPr>
          <w:p w:rsidR="00BA58EC" w:rsidRDefault="00BA58EC" w:rsidP="00BA58EC">
            <w:pPr>
              <w:pStyle w:val="BodyText"/>
              <w:tabs>
                <w:tab w:val="center" w:pos="2286"/>
              </w:tabs>
              <w:rPr>
                <w:rFonts w:ascii="Century Gothic" w:hAnsi="Century Gothic"/>
                <w:sz w:val="20"/>
              </w:rPr>
            </w:pPr>
            <w:r w:rsidRPr="00243C19">
              <w:rPr>
                <w:rFonts w:ascii="Century Gothic" w:hAnsi="Century Gothic"/>
                <w:sz w:val="20"/>
                <w:lang w:val="en-GB"/>
              </w:rPr>
              <w:t xml:space="preserve"> </w:t>
            </w:r>
            <w:r>
              <w:rPr>
                <w:rFonts w:ascii="Century Gothic" w:hAnsi="Century Gothic"/>
                <w:sz w:val="20"/>
              </w:rPr>
              <w:t>Signature</w:t>
            </w:r>
          </w:p>
          <w:p w:rsidR="00BA58EC" w:rsidRDefault="00BA58EC" w:rsidP="00BA58EC">
            <w:pPr>
              <w:pStyle w:val="BodyText"/>
              <w:tabs>
                <w:tab w:val="center" w:pos="2286"/>
              </w:tabs>
              <w:rPr>
                <w:rFonts w:ascii="Century Gothic" w:hAnsi="Century Gothic"/>
                <w:sz w:val="20"/>
              </w:rPr>
            </w:pPr>
          </w:p>
          <w:p w:rsidR="00BA58EC" w:rsidRDefault="00BA58EC" w:rsidP="00BA58EC">
            <w:pPr>
              <w:pStyle w:val="BodyText"/>
              <w:tabs>
                <w:tab w:val="center" w:pos="2286"/>
              </w:tabs>
              <w:rPr>
                <w:rFonts w:ascii="Century Gothic" w:hAnsi="Century Gothic"/>
                <w:sz w:val="20"/>
              </w:rPr>
            </w:pPr>
            <w:r>
              <w:rPr>
                <w:rFonts w:ascii="Century Gothic" w:hAnsi="Century Gothic"/>
                <w:sz w:val="20"/>
              </w:rPr>
              <w:t>………………………………………………………</w:t>
            </w:r>
          </w:p>
          <w:p w:rsidR="00BA58EC" w:rsidRDefault="00BA58EC" w:rsidP="00BA58EC">
            <w:pPr>
              <w:pStyle w:val="BodyText"/>
              <w:tabs>
                <w:tab w:val="center" w:pos="2286"/>
              </w:tabs>
              <w:rPr>
                <w:rFonts w:ascii="Century Gothic" w:hAnsi="Century Gothic"/>
                <w:sz w:val="20"/>
              </w:rPr>
            </w:pPr>
            <w:r>
              <w:rPr>
                <w:rFonts w:ascii="Century Gothic" w:hAnsi="Century Gothic"/>
                <w:sz w:val="20"/>
              </w:rPr>
              <w:t xml:space="preserve">Mr. Eric Dupont, </w:t>
            </w:r>
          </w:p>
          <w:p w:rsidR="00BA58EC" w:rsidRDefault="00BA58EC" w:rsidP="00BA58EC">
            <w:pPr>
              <w:pStyle w:val="BodyText"/>
              <w:tabs>
                <w:tab w:val="center" w:pos="2286"/>
              </w:tabs>
              <w:rPr>
                <w:rFonts w:ascii="Century Gothic" w:hAnsi="Century Gothic"/>
                <w:sz w:val="20"/>
              </w:rPr>
            </w:pPr>
            <w:r>
              <w:rPr>
                <w:rFonts w:ascii="Century Gothic" w:hAnsi="Century Gothic"/>
                <w:sz w:val="20"/>
              </w:rPr>
              <w:t>Chief Procurement Services Branch, UNFPA</w:t>
            </w:r>
          </w:p>
          <w:p w:rsidR="00BA58EC" w:rsidRDefault="00BA58EC" w:rsidP="00BA58EC">
            <w:pPr>
              <w:pStyle w:val="BodyText"/>
              <w:tabs>
                <w:tab w:val="center" w:pos="2286"/>
              </w:tabs>
              <w:rPr>
                <w:rFonts w:ascii="Century Gothic" w:hAnsi="Century Gothic"/>
                <w:sz w:val="20"/>
              </w:rPr>
            </w:pPr>
          </w:p>
        </w:tc>
      </w:tr>
      <w:tr w:rsidR="00BA58EC" w:rsidRPr="000E72CE" w:rsidTr="00BA58EC">
        <w:trPr>
          <w:cantSplit/>
          <w:trHeight w:val="1387"/>
        </w:trPr>
        <w:tc>
          <w:tcPr>
            <w:tcW w:w="5029" w:type="dxa"/>
            <w:vMerge/>
          </w:tcPr>
          <w:p w:rsidR="00BA58EC" w:rsidRDefault="00BA58EC" w:rsidP="00BA58EC">
            <w:pPr>
              <w:pStyle w:val="BodyText"/>
              <w:shd w:val="clear" w:color="auto" w:fill="C0C0C0"/>
              <w:rPr>
                <w:rFonts w:ascii="Century Gothic" w:hAnsi="Century Gothic"/>
                <w:sz w:val="20"/>
              </w:rPr>
            </w:pPr>
          </w:p>
        </w:tc>
        <w:tc>
          <w:tcPr>
            <w:tcW w:w="5051" w:type="dxa"/>
            <w:tcBorders>
              <w:top w:val="single" w:sz="4" w:space="0" w:color="auto"/>
            </w:tcBorders>
          </w:tcPr>
          <w:p w:rsidR="00BA58EC" w:rsidRDefault="00BA58EC" w:rsidP="00BA58EC">
            <w:pPr>
              <w:pStyle w:val="BodyText"/>
              <w:tabs>
                <w:tab w:val="center" w:pos="2286"/>
              </w:tabs>
              <w:rPr>
                <w:rFonts w:ascii="Century Gothic" w:hAnsi="Century Gothic"/>
                <w:sz w:val="20"/>
              </w:rPr>
            </w:pPr>
            <w:r>
              <w:rPr>
                <w:rFonts w:ascii="Century Gothic" w:hAnsi="Century Gothic"/>
                <w:sz w:val="20"/>
              </w:rPr>
              <w:t>Signature</w:t>
            </w:r>
          </w:p>
          <w:p w:rsidR="00BA58EC" w:rsidRDefault="00BA58EC" w:rsidP="00BA58EC">
            <w:pPr>
              <w:pStyle w:val="BodyText"/>
              <w:tabs>
                <w:tab w:val="center" w:pos="2286"/>
              </w:tabs>
              <w:rPr>
                <w:rFonts w:ascii="Century Gothic" w:hAnsi="Century Gothic"/>
                <w:sz w:val="20"/>
              </w:rPr>
            </w:pPr>
          </w:p>
          <w:p w:rsidR="00BA58EC" w:rsidRDefault="00BA58EC" w:rsidP="00BA58EC">
            <w:pPr>
              <w:pStyle w:val="BodyText"/>
              <w:tabs>
                <w:tab w:val="center" w:pos="2286"/>
              </w:tabs>
              <w:rPr>
                <w:rFonts w:ascii="Century Gothic" w:hAnsi="Century Gothic"/>
                <w:sz w:val="20"/>
              </w:rPr>
            </w:pPr>
            <w:r>
              <w:rPr>
                <w:rFonts w:ascii="Century Gothic" w:hAnsi="Century Gothic"/>
                <w:sz w:val="20"/>
              </w:rPr>
              <w:t>………………………………………………………</w:t>
            </w:r>
          </w:p>
          <w:p w:rsidR="00BA58EC" w:rsidRPr="000E72CE" w:rsidRDefault="00320D13" w:rsidP="00BA58EC">
            <w:pPr>
              <w:pStyle w:val="BodyText"/>
              <w:tabs>
                <w:tab w:val="center" w:pos="2286"/>
              </w:tabs>
              <w:rPr>
                <w:rFonts w:ascii="Century Gothic" w:hAnsi="Century Gothic"/>
                <w:i/>
                <w:sz w:val="20"/>
              </w:rPr>
            </w:pPr>
            <w:r w:rsidRPr="00320D13">
              <w:rPr>
                <w:rFonts w:ascii="Century Gothic" w:hAnsi="Century Gothic"/>
                <w:i/>
                <w:sz w:val="20"/>
                <w:highlight w:val="yellow"/>
              </w:rPr>
              <w:t>NOM, POSTE, VENDEUR</w:t>
            </w:r>
          </w:p>
        </w:tc>
      </w:tr>
    </w:tbl>
    <w:p w:rsidR="00320D13" w:rsidRDefault="00320D13" w:rsidP="00BA58EC">
      <w:pPr>
        <w:rPr>
          <w:b/>
        </w:rPr>
      </w:pPr>
    </w:p>
    <w:p w:rsidR="00320D13" w:rsidRDefault="00320D13">
      <w:pPr>
        <w:spacing w:after="200"/>
        <w:rPr>
          <w:b/>
        </w:rPr>
      </w:pPr>
      <w:r>
        <w:rPr>
          <w:b/>
        </w:rPr>
        <w:br w:type="page"/>
      </w:r>
    </w:p>
    <w:sdt>
      <w:sdtPr>
        <w:rPr>
          <w:rFonts w:eastAsiaTheme="minorHAnsi" w:cstheme="minorBidi"/>
          <w:b w:val="0"/>
          <w:bCs w:val="0"/>
          <w:szCs w:val="22"/>
          <w:lang w:val="fr-FR" w:eastAsia="en-US"/>
        </w:rPr>
        <w:id w:val="-998879236"/>
        <w:docPartObj>
          <w:docPartGallery w:val="Table of Contents"/>
          <w:docPartUnique/>
        </w:docPartObj>
      </w:sdtPr>
      <w:sdtEndPr>
        <w:rPr>
          <w:noProof/>
        </w:rPr>
      </w:sdtEndPr>
      <w:sdtContent>
        <w:p w:rsidR="00320D13" w:rsidRPr="00ED449E" w:rsidRDefault="00ED449E" w:rsidP="00ED449E">
          <w:pPr>
            <w:pStyle w:val="TOCHeading"/>
            <w:jc w:val="center"/>
            <w:rPr>
              <w:sz w:val="28"/>
            </w:rPr>
          </w:pPr>
          <w:r>
            <w:rPr>
              <w:sz w:val="28"/>
            </w:rPr>
            <w:t>Table des matières</w:t>
          </w:r>
        </w:p>
        <w:p w:rsidR="00ED449E" w:rsidRPr="00ED449E" w:rsidRDefault="00ED449E" w:rsidP="00ED449E">
          <w:pPr>
            <w:rPr>
              <w:lang w:val="en-US" w:eastAsia="ja-JP"/>
            </w:rPr>
          </w:pPr>
        </w:p>
        <w:p w:rsidR="000654DA" w:rsidRDefault="00320D13">
          <w:pPr>
            <w:pStyle w:val="TOC1"/>
            <w:tabs>
              <w:tab w:val="right" w:leader="dot" w:pos="9016"/>
            </w:tabs>
            <w:rPr>
              <w:rFonts w:asciiTheme="minorHAnsi" w:eastAsiaTheme="minorEastAsia" w:hAnsiTheme="minorHAnsi"/>
              <w:noProof/>
              <w:sz w:val="22"/>
              <w:lang w:eastAsia="fr-FR"/>
            </w:rPr>
          </w:pPr>
          <w:r>
            <w:fldChar w:fldCharType="begin"/>
          </w:r>
          <w:r w:rsidRPr="00320D13">
            <w:rPr>
              <w:lang w:val="en-GB"/>
            </w:rPr>
            <w:instrText xml:space="preserve"> TOC \o "1-3" \h \z \u </w:instrText>
          </w:r>
          <w:r>
            <w:fldChar w:fldCharType="separate"/>
          </w:r>
          <w:hyperlink w:anchor="_Toc369859047" w:history="1">
            <w:r w:rsidR="000654DA" w:rsidRPr="005A6E3E">
              <w:rPr>
                <w:rStyle w:val="Hyperlink"/>
                <w:noProof/>
                <w:highlight w:val="yellow"/>
              </w:rPr>
              <w:t xml:space="preserve">SERVICES DU CONSULTANT </w:t>
            </w:r>
            <w:r w:rsidR="000654DA" w:rsidRPr="005A6E3E">
              <w:rPr>
                <w:rStyle w:val="Hyperlink"/>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_Toc369859047 \h </w:instrText>
            </w:r>
            <w:r w:rsidR="000654DA">
              <w:rPr>
                <w:noProof/>
                <w:webHidden/>
              </w:rPr>
            </w:r>
            <w:r w:rsidR="000654DA">
              <w:rPr>
                <w:noProof/>
                <w:webHidden/>
              </w:rPr>
              <w:fldChar w:fldCharType="separate"/>
            </w:r>
            <w:r w:rsidR="000654DA">
              <w:rPr>
                <w:noProof/>
                <w:webHidden/>
              </w:rPr>
              <w:t>4</w:t>
            </w:r>
            <w:r w:rsidR="000654DA">
              <w:rPr>
                <w:noProof/>
                <w:webHidden/>
              </w:rPr>
              <w:fldChar w:fldCharType="end"/>
            </w:r>
          </w:hyperlink>
        </w:p>
        <w:p w:rsidR="000654DA" w:rsidRDefault="004003AB">
          <w:pPr>
            <w:pStyle w:val="TOC1"/>
            <w:tabs>
              <w:tab w:val="right" w:leader="dot" w:pos="9016"/>
            </w:tabs>
            <w:rPr>
              <w:rFonts w:asciiTheme="minorHAnsi" w:eastAsiaTheme="minorEastAsia" w:hAnsiTheme="minorHAnsi"/>
              <w:noProof/>
              <w:sz w:val="22"/>
              <w:lang w:eastAsia="fr-FR"/>
            </w:rPr>
          </w:pPr>
          <w:hyperlink w:anchor="_Toc369859048" w:history="1">
            <w:r w:rsidR="000654DA" w:rsidRPr="005A6E3E">
              <w:rPr>
                <w:rStyle w:val="Hyperlink"/>
                <w:noProof/>
                <w:highlight w:val="yellow"/>
              </w:rPr>
              <w:t xml:space="preserve">PRODUITS </w:t>
            </w:r>
            <w:r w:rsidR="000654DA" w:rsidRPr="005A6E3E">
              <w:rPr>
                <w:rStyle w:val="Hyperlink"/>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_Toc369859048 \h </w:instrText>
            </w:r>
            <w:r w:rsidR="000654DA">
              <w:rPr>
                <w:noProof/>
                <w:webHidden/>
              </w:rPr>
            </w:r>
            <w:r w:rsidR="000654DA">
              <w:rPr>
                <w:noProof/>
                <w:webHidden/>
              </w:rPr>
              <w:fldChar w:fldCharType="separate"/>
            </w:r>
            <w:r w:rsidR="000654DA">
              <w:rPr>
                <w:noProof/>
                <w:webHidden/>
              </w:rPr>
              <w:t>4</w:t>
            </w:r>
            <w:r w:rsidR="000654DA">
              <w:rPr>
                <w:noProof/>
                <w:webHidden/>
              </w:rPr>
              <w:fldChar w:fldCharType="end"/>
            </w:r>
          </w:hyperlink>
        </w:p>
        <w:p w:rsidR="000654DA" w:rsidRDefault="004003AB">
          <w:pPr>
            <w:pStyle w:val="TOC1"/>
            <w:tabs>
              <w:tab w:val="left" w:pos="440"/>
              <w:tab w:val="right" w:leader="dot" w:pos="9016"/>
            </w:tabs>
            <w:rPr>
              <w:rFonts w:asciiTheme="minorHAnsi" w:eastAsiaTheme="minorEastAsia" w:hAnsiTheme="minorHAnsi"/>
              <w:noProof/>
              <w:sz w:val="22"/>
              <w:lang w:eastAsia="fr-FR"/>
            </w:rPr>
          </w:pPr>
          <w:hyperlink w:anchor="_Toc369859049" w:history="1">
            <w:r w:rsidR="000654DA" w:rsidRPr="005A6E3E">
              <w:rPr>
                <w:rStyle w:val="Hyperlink"/>
                <w:noProof/>
                <w:lang w:val="en-GB"/>
              </w:rPr>
              <w:t>1.</w:t>
            </w:r>
            <w:r w:rsidR="000654DA">
              <w:rPr>
                <w:rFonts w:asciiTheme="minorHAnsi" w:eastAsiaTheme="minorEastAsia" w:hAnsiTheme="minorHAnsi"/>
                <w:noProof/>
                <w:sz w:val="22"/>
                <w:lang w:eastAsia="fr-FR"/>
              </w:rPr>
              <w:tab/>
            </w:r>
            <w:r w:rsidR="000654DA" w:rsidRPr="005A6E3E">
              <w:rPr>
                <w:rStyle w:val="Hyperlink"/>
                <w:noProof/>
                <w:lang w:val="en-GB"/>
              </w:rPr>
              <w:t>OBJECTIFS</w:t>
            </w:r>
            <w:r w:rsidR="000654DA">
              <w:rPr>
                <w:noProof/>
                <w:webHidden/>
              </w:rPr>
              <w:tab/>
            </w:r>
            <w:r w:rsidR="000654DA">
              <w:rPr>
                <w:noProof/>
                <w:webHidden/>
              </w:rPr>
              <w:fldChar w:fldCharType="begin"/>
            </w:r>
            <w:r w:rsidR="000654DA">
              <w:rPr>
                <w:noProof/>
                <w:webHidden/>
              </w:rPr>
              <w:instrText xml:space="preserve"> PAGEREF _Toc369859049 \h </w:instrText>
            </w:r>
            <w:r w:rsidR="000654DA">
              <w:rPr>
                <w:noProof/>
                <w:webHidden/>
              </w:rPr>
            </w:r>
            <w:r w:rsidR="000654DA">
              <w:rPr>
                <w:noProof/>
                <w:webHidden/>
              </w:rPr>
              <w:fldChar w:fldCharType="separate"/>
            </w:r>
            <w:r w:rsidR="000654DA">
              <w:rPr>
                <w:noProof/>
                <w:webHidden/>
              </w:rPr>
              <w:t>5</w:t>
            </w:r>
            <w:r w:rsidR="000654DA">
              <w:rPr>
                <w:noProof/>
                <w:webHidden/>
              </w:rPr>
              <w:fldChar w:fldCharType="end"/>
            </w:r>
          </w:hyperlink>
        </w:p>
        <w:p w:rsidR="000654DA" w:rsidRDefault="004003AB">
          <w:pPr>
            <w:pStyle w:val="TOC1"/>
            <w:tabs>
              <w:tab w:val="left" w:pos="440"/>
              <w:tab w:val="right" w:leader="dot" w:pos="9016"/>
            </w:tabs>
            <w:rPr>
              <w:rFonts w:asciiTheme="minorHAnsi" w:eastAsiaTheme="minorEastAsia" w:hAnsiTheme="minorHAnsi"/>
              <w:noProof/>
              <w:sz w:val="22"/>
              <w:lang w:eastAsia="fr-FR"/>
            </w:rPr>
          </w:pPr>
          <w:hyperlink w:anchor="_Toc369859050" w:history="1">
            <w:r w:rsidR="000654DA" w:rsidRPr="005A6E3E">
              <w:rPr>
                <w:rStyle w:val="Hyperlink"/>
                <w:noProof/>
              </w:rPr>
              <w:t>2.</w:t>
            </w:r>
            <w:r w:rsidR="000654DA">
              <w:rPr>
                <w:rFonts w:asciiTheme="minorHAnsi" w:eastAsiaTheme="minorEastAsia" w:hAnsiTheme="minorHAnsi"/>
                <w:noProof/>
                <w:sz w:val="22"/>
                <w:lang w:eastAsia="fr-FR"/>
              </w:rPr>
              <w:tab/>
            </w:r>
            <w:r w:rsidR="000654DA" w:rsidRPr="005A6E3E">
              <w:rPr>
                <w:rStyle w:val="Hyperlink"/>
                <w:noProof/>
              </w:rPr>
              <w:t>DISPOSITIONS GÉNÉRALES</w:t>
            </w:r>
            <w:r w:rsidR="000654DA">
              <w:rPr>
                <w:noProof/>
                <w:webHidden/>
              </w:rPr>
              <w:tab/>
            </w:r>
            <w:r w:rsidR="000654DA">
              <w:rPr>
                <w:noProof/>
                <w:webHidden/>
              </w:rPr>
              <w:fldChar w:fldCharType="begin"/>
            </w:r>
            <w:r w:rsidR="000654DA">
              <w:rPr>
                <w:noProof/>
                <w:webHidden/>
              </w:rPr>
              <w:instrText xml:space="preserve"> PAGEREF _Toc369859050 \h </w:instrText>
            </w:r>
            <w:r w:rsidR="000654DA">
              <w:rPr>
                <w:noProof/>
                <w:webHidden/>
              </w:rPr>
            </w:r>
            <w:r w:rsidR="000654DA">
              <w:rPr>
                <w:noProof/>
                <w:webHidden/>
              </w:rPr>
              <w:fldChar w:fldCharType="separate"/>
            </w:r>
            <w:r w:rsidR="000654DA">
              <w:rPr>
                <w:noProof/>
                <w:webHidden/>
              </w:rPr>
              <w:t>5</w:t>
            </w:r>
            <w:r w:rsidR="000654DA">
              <w:rPr>
                <w:noProof/>
                <w:webHidden/>
              </w:rPr>
              <w:fldChar w:fldCharType="end"/>
            </w:r>
          </w:hyperlink>
        </w:p>
        <w:p w:rsidR="000654DA" w:rsidRDefault="004003AB">
          <w:pPr>
            <w:pStyle w:val="TOC1"/>
            <w:tabs>
              <w:tab w:val="left" w:pos="440"/>
              <w:tab w:val="right" w:leader="dot" w:pos="9016"/>
            </w:tabs>
            <w:rPr>
              <w:rFonts w:asciiTheme="minorHAnsi" w:eastAsiaTheme="minorEastAsia" w:hAnsiTheme="minorHAnsi"/>
              <w:noProof/>
              <w:sz w:val="22"/>
              <w:lang w:eastAsia="fr-FR"/>
            </w:rPr>
          </w:pPr>
          <w:hyperlink w:anchor="_Toc369859051" w:history="1">
            <w:r w:rsidR="000654DA" w:rsidRPr="005A6E3E">
              <w:rPr>
                <w:rStyle w:val="Hyperlink"/>
                <w:noProof/>
              </w:rPr>
              <w:t>3.</w:t>
            </w:r>
            <w:r w:rsidR="000654DA">
              <w:rPr>
                <w:rFonts w:asciiTheme="minorHAnsi" w:eastAsiaTheme="minorEastAsia" w:hAnsiTheme="minorHAnsi"/>
                <w:noProof/>
                <w:sz w:val="22"/>
                <w:lang w:eastAsia="fr-FR"/>
              </w:rPr>
              <w:tab/>
            </w:r>
            <w:r w:rsidR="000654DA" w:rsidRPr="005A6E3E">
              <w:rPr>
                <w:rStyle w:val="Hyperlink"/>
                <w:noProof/>
              </w:rPr>
              <w:t>VALIDITÉ DE L’ACCORD</w:t>
            </w:r>
            <w:r w:rsidR="000654DA">
              <w:rPr>
                <w:noProof/>
                <w:webHidden/>
              </w:rPr>
              <w:tab/>
            </w:r>
            <w:r w:rsidR="000654DA">
              <w:rPr>
                <w:noProof/>
                <w:webHidden/>
              </w:rPr>
              <w:fldChar w:fldCharType="begin"/>
            </w:r>
            <w:r w:rsidR="000654DA">
              <w:rPr>
                <w:noProof/>
                <w:webHidden/>
              </w:rPr>
              <w:instrText xml:space="preserve"> PAGEREF _Toc369859051 \h </w:instrText>
            </w:r>
            <w:r w:rsidR="000654DA">
              <w:rPr>
                <w:noProof/>
                <w:webHidden/>
              </w:rPr>
            </w:r>
            <w:r w:rsidR="000654DA">
              <w:rPr>
                <w:noProof/>
                <w:webHidden/>
              </w:rPr>
              <w:fldChar w:fldCharType="separate"/>
            </w:r>
            <w:r w:rsidR="000654DA">
              <w:rPr>
                <w:noProof/>
                <w:webHidden/>
              </w:rPr>
              <w:t>6</w:t>
            </w:r>
            <w:r w:rsidR="000654DA">
              <w:rPr>
                <w:noProof/>
                <w:webHidden/>
              </w:rPr>
              <w:fldChar w:fldCharType="end"/>
            </w:r>
          </w:hyperlink>
        </w:p>
        <w:p w:rsidR="000654DA" w:rsidRDefault="004003AB">
          <w:pPr>
            <w:pStyle w:val="TOC1"/>
            <w:tabs>
              <w:tab w:val="left" w:pos="440"/>
              <w:tab w:val="right" w:leader="dot" w:pos="9016"/>
            </w:tabs>
            <w:rPr>
              <w:rFonts w:asciiTheme="minorHAnsi" w:eastAsiaTheme="minorEastAsia" w:hAnsiTheme="minorHAnsi"/>
              <w:noProof/>
              <w:sz w:val="22"/>
              <w:lang w:eastAsia="fr-FR"/>
            </w:rPr>
          </w:pPr>
          <w:hyperlink w:anchor="_Toc369859052" w:history="1">
            <w:r w:rsidR="000654DA" w:rsidRPr="005A6E3E">
              <w:rPr>
                <w:rStyle w:val="Hyperlink"/>
                <w:noProof/>
              </w:rPr>
              <w:t>4.</w:t>
            </w:r>
            <w:r w:rsidR="000654DA">
              <w:rPr>
                <w:rFonts w:asciiTheme="minorHAnsi" w:eastAsiaTheme="minorEastAsia" w:hAnsiTheme="minorHAnsi"/>
                <w:noProof/>
                <w:sz w:val="22"/>
                <w:lang w:eastAsia="fr-FR"/>
              </w:rPr>
              <w:tab/>
            </w:r>
            <w:r w:rsidR="000654DA" w:rsidRPr="005A6E3E">
              <w:rPr>
                <w:rStyle w:val="Hyperlink"/>
                <w:noProof/>
              </w:rPr>
              <w:t>BIENS ET PRESTATIONS DE SERVICES RELATIFS À CET ACCORD</w:t>
            </w:r>
            <w:r w:rsidR="000654DA">
              <w:rPr>
                <w:noProof/>
                <w:webHidden/>
              </w:rPr>
              <w:tab/>
            </w:r>
            <w:r w:rsidR="000654DA">
              <w:rPr>
                <w:noProof/>
                <w:webHidden/>
              </w:rPr>
              <w:fldChar w:fldCharType="begin"/>
            </w:r>
            <w:r w:rsidR="000654DA">
              <w:rPr>
                <w:noProof/>
                <w:webHidden/>
              </w:rPr>
              <w:instrText xml:space="preserve"> PAGEREF _Toc369859052 \h </w:instrText>
            </w:r>
            <w:r w:rsidR="000654DA">
              <w:rPr>
                <w:noProof/>
                <w:webHidden/>
              </w:rPr>
            </w:r>
            <w:r w:rsidR="000654DA">
              <w:rPr>
                <w:noProof/>
                <w:webHidden/>
              </w:rPr>
              <w:fldChar w:fldCharType="separate"/>
            </w:r>
            <w:r w:rsidR="000654DA">
              <w:rPr>
                <w:noProof/>
                <w:webHidden/>
              </w:rPr>
              <w:t>6</w:t>
            </w:r>
            <w:r w:rsidR="000654DA">
              <w:rPr>
                <w:noProof/>
                <w:webHidden/>
              </w:rPr>
              <w:fldChar w:fldCharType="end"/>
            </w:r>
          </w:hyperlink>
        </w:p>
        <w:p w:rsidR="000654DA" w:rsidRDefault="004003AB">
          <w:pPr>
            <w:pStyle w:val="TOC1"/>
            <w:tabs>
              <w:tab w:val="left" w:pos="440"/>
              <w:tab w:val="right" w:leader="dot" w:pos="9016"/>
            </w:tabs>
            <w:rPr>
              <w:rFonts w:asciiTheme="minorHAnsi" w:eastAsiaTheme="minorEastAsia" w:hAnsiTheme="minorHAnsi"/>
              <w:noProof/>
              <w:sz w:val="22"/>
              <w:lang w:eastAsia="fr-FR"/>
            </w:rPr>
          </w:pPr>
          <w:hyperlink w:anchor="_Toc369859053" w:history="1">
            <w:r w:rsidR="000654DA" w:rsidRPr="005A6E3E">
              <w:rPr>
                <w:rStyle w:val="Hyperlink"/>
                <w:noProof/>
              </w:rPr>
              <w:t>5.</w:t>
            </w:r>
            <w:r w:rsidR="000654DA">
              <w:rPr>
                <w:rFonts w:asciiTheme="minorHAnsi" w:eastAsiaTheme="minorEastAsia" w:hAnsiTheme="minorHAnsi"/>
                <w:noProof/>
                <w:sz w:val="22"/>
                <w:lang w:eastAsia="fr-FR"/>
              </w:rPr>
              <w:tab/>
            </w:r>
            <w:r w:rsidR="000654DA" w:rsidRPr="005A6E3E">
              <w:rPr>
                <w:rStyle w:val="Hyperlink"/>
                <w:noProof/>
              </w:rPr>
              <w:t>DOCUMENTS RELATIFS À L’ACCORD</w:t>
            </w:r>
            <w:r w:rsidR="000654DA">
              <w:rPr>
                <w:noProof/>
                <w:webHidden/>
              </w:rPr>
              <w:tab/>
            </w:r>
            <w:r w:rsidR="000654DA">
              <w:rPr>
                <w:noProof/>
                <w:webHidden/>
              </w:rPr>
              <w:fldChar w:fldCharType="begin"/>
            </w:r>
            <w:r w:rsidR="000654DA">
              <w:rPr>
                <w:noProof/>
                <w:webHidden/>
              </w:rPr>
              <w:instrText xml:space="preserve"> PAGEREF _Toc369859053 \h </w:instrText>
            </w:r>
            <w:r w:rsidR="000654DA">
              <w:rPr>
                <w:noProof/>
                <w:webHidden/>
              </w:rPr>
            </w:r>
            <w:r w:rsidR="000654DA">
              <w:rPr>
                <w:noProof/>
                <w:webHidden/>
              </w:rPr>
              <w:fldChar w:fldCharType="separate"/>
            </w:r>
            <w:r w:rsidR="000654DA">
              <w:rPr>
                <w:noProof/>
                <w:webHidden/>
              </w:rPr>
              <w:t>6</w:t>
            </w:r>
            <w:r w:rsidR="000654DA">
              <w:rPr>
                <w:noProof/>
                <w:webHidden/>
              </w:rPr>
              <w:fldChar w:fldCharType="end"/>
            </w:r>
          </w:hyperlink>
        </w:p>
        <w:p w:rsidR="000654DA" w:rsidRDefault="004003AB">
          <w:pPr>
            <w:pStyle w:val="TOC1"/>
            <w:tabs>
              <w:tab w:val="left" w:pos="440"/>
              <w:tab w:val="right" w:leader="dot" w:pos="9016"/>
            </w:tabs>
            <w:rPr>
              <w:rFonts w:asciiTheme="minorHAnsi" w:eastAsiaTheme="minorEastAsia" w:hAnsiTheme="minorHAnsi"/>
              <w:noProof/>
              <w:sz w:val="22"/>
              <w:lang w:eastAsia="fr-FR"/>
            </w:rPr>
          </w:pPr>
          <w:hyperlink w:anchor="_Toc369859054" w:history="1">
            <w:r w:rsidR="000654DA" w:rsidRPr="005A6E3E">
              <w:rPr>
                <w:rStyle w:val="Hyperlink"/>
                <w:noProof/>
              </w:rPr>
              <w:t>6.</w:t>
            </w:r>
            <w:r w:rsidR="000654DA">
              <w:rPr>
                <w:rFonts w:asciiTheme="minorHAnsi" w:eastAsiaTheme="minorEastAsia" w:hAnsiTheme="minorHAnsi"/>
                <w:noProof/>
                <w:sz w:val="22"/>
                <w:lang w:eastAsia="fr-FR"/>
              </w:rPr>
              <w:tab/>
            </w:r>
            <w:r w:rsidR="000654DA" w:rsidRPr="005A6E3E">
              <w:rPr>
                <w:rStyle w:val="Hyperlink"/>
                <w:noProof/>
              </w:rPr>
              <w:t>PRIX ET REMISES</w:t>
            </w:r>
            <w:r w:rsidR="000654DA">
              <w:rPr>
                <w:noProof/>
                <w:webHidden/>
              </w:rPr>
              <w:tab/>
            </w:r>
            <w:r w:rsidR="000654DA">
              <w:rPr>
                <w:noProof/>
                <w:webHidden/>
              </w:rPr>
              <w:fldChar w:fldCharType="begin"/>
            </w:r>
            <w:r w:rsidR="000654DA">
              <w:rPr>
                <w:noProof/>
                <w:webHidden/>
              </w:rPr>
              <w:instrText xml:space="preserve"> PAGEREF _Toc369859054 \h </w:instrText>
            </w:r>
            <w:r w:rsidR="000654DA">
              <w:rPr>
                <w:noProof/>
                <w:webHidden/>
              </w:rPr>
            </w:r>
            <w:r w:rsidR="000654DA">
              <w:rPr>
                <w:noProof/>
                <w:webHidden/>
              </w:rPr>
              <w:fldChar w:fldCharType="separate"/>
            </w:r>
            <w:r w:rsidR="000654DA">
              <w:rPr>
                <w:noProof/>
                <w:webHidden/>
              </w:rPr>
              <w:t>6</w:t>
            </w:r>
            <w:r w:rsidR="000654DA">
              <w:rPr>
                <w:noProof/>
                <w:webHidden/>
              </w:rPr>
              <w:fldChar w:fldCharType="end"/>
            </w:r>
          </w:hyperlink>
        </w:p>
        <w:p w:rsidR="000654DA" w:rsidRDefault="004003AB">
          <w:pPr>
            <w:pStyle w:val="TOC1"/>
            <w:tabs>
              <w:tab w:val="left" w:pos="440"/>
              <w:tab w:val="right" w:leader="dot" w:pos="9016"/>
            </w:tabs>
            <w:rPr>
              <w:rFonts w:asciiTheme="minorHAnsi" w:eastAsiaTheme="minorEastAsia" w:hAnsiTheme="minorHAnsi"/>
              <w:noProof/>
              <w:sz w:val="22"/>
              <w:lang w:eastAsia="fr-FR"/>
            </w:rPr>
          </w:pPr>
          <w:hyperlink w:anchor="_Toc369859055" w:history="1">
            <w:r w:rsidR="000654DA" w:rsidRPr="005A6E3E">
              <w:rPr>
                <w:rStyle w:val="Hyperlink"/>
                <w:noProof/>
              </w:rPr>
              <w:t>7.</w:t>
            </w:r>
            <w:r w:rsidR="000654DA">
              <w:rPr>
                <w:rFonts w:asciiTheme="minorHAnsi" w:eastAsiaTheme="minorEastAsia" w:hAnsiTheme="minorHAnsi"/>
                <w:noProof/>
                <w:sz w:val="22"/>
                <w:lang w:eastAsia="fr-FR"/>
              </w:rPr>
              <w:tab/>
            </w:r>
            <w:r w:rsidR="000654DA" w:rsidRPr="005A6E3E">
              <w:rPr>
                <w:rStyle w:val="Hyperlink"/>
                <w:noProof/>
              </w:rPr>
              <w:t xml:space="preserve">LIVRAISON </w:t>
            </w:r>
            <w:r w:rsidR="000654DA" w:rsidRPr="005A6E3E">
              <w:rPr>
                <w:rStyle w:val="Hyperlink"/>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_Toc369859055 \h </w:instrText>
            </w:r>
            <w:r w:rsidR="000654DA">
              <w:rPr>
                <w:noProof/>
                <w:webHidden/>
              </w:rPr>
            </w:r>
            <w:r w:rsidR="000654DA">
              <w:rPr>
                <w:noProof/>
                <w:webHidden/>
              </w:rPr>
              <w:fldChar w:fldCharType="separate"/>
            </w:r>
            <w:r w:rsidR="000654DA">
              <w:rPr>
                <w:noProof/>
                <w:webHidden/>
              </w:rPr>
              <w:t>7</w:t>
            </w:r>
            <w:r w:rsidR="000654DA">
              <w:rPr>
                <w:noProof/>
                <w:webHidden/>
              </w:rPr>
              <w:fldChar w:fldCharType="end"/>
            </w:r>
          </w:hyperlink>
        </w:p>
        <w:p w:rsidR="000654DA" w:rsidRDefault="004003AB">
          <w:pPr>
            <w:pStyle w:val="TOC1"/>
            <w:tabs>
              <w:tab w:val="left" w:pos="440"/>
              <w:tab w:val="right" w:leader="dot" w:pos="9016"/>
            </w:tabs>
            <w:rPr>
              <w:rFonts w:asciiTheme="minorHAnsi" w:eastAsiaTheme="minorEastAsia" w:hAnsiTheme="minorHAnsi"/>
              <w:noProof/>
              <w:sz w:val="22"/>
              <w:lang w:eastAsia="fr-FR"/>
            </w:rPr>
          </w:pPr>
          <w:hyperlink w:anchor="_Toc369859056" w:history="1">
            <w:r w:rsidR="000654DA" w:rsidRPr="005A6E3E">
              <w:rPr>
                <w:rStyle w:val="Hyperlink"/>
                <w:noProof/>
              </w:rPr>
              <w:t>8.</w:t>
            </w:r>
            <w:r w:rsidR="000654DA">
              <w:rPr>
                <w:rFonts w:asciiTheme="minorHAnsi" w:eastAsiaTheme="minorEastAsia" w:hAnsiTheme="minorHAnsi"/>
                <w:noProof/>
                <w:sz w:val="22"/>
                <w:lang w:eastAsia="fr-FR"/>
              </w:rPr>
              <w:tab/>
            </w:r>
            <w:r w:rsidR="000654DA" w:rsidRPr="005A6E3E">
              <w:rPr>
                <w:rStyle w:val="Hyperlink"/>
                <w:noProof/>
              </w:rPr>
              <w:t xml:space="preserve">FRET </w:t>
            </w:r>
            <w:r w:rsidR="000654DA" w:rsidRPr="005A6E3E">
              <w:rPr>
                <w:rStyle w:val="Hyperlink"/>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_Toc369859056 \h </w:instrText>
            </w:r>
            <w:r w:rsidR="000654DA">
              <w:rPr>
                <w:noProof/>
                <w:webHidden/>
              </w:rPr>
            </w:r>
            <w:r w:rsidR="000654DA">
              <w:rPr>
                <w:noProof/>
                <w:webHidden/>
              </w:rPr>
              <w:fldChar w:fldCharType="separate"/>
            </w:r>
            <w:r w:rsidR="000654DA">
              <w:rPr>
                <w:noProof/>
                <w:webHidden/>
              </w:rPr>
              <w:t>9</w:t>
            </w:r>
            <w:r w:rsidR="000654DA">
              <w:rPr>
                <w:noProof/>
                <w:webHidden/>
              </w:rPr>
              <w:fldChar w:fldCharType="end"/>
            </w:r>
          </w:hyperlink>
        </w:p>
        <w:p w:rsidR="000654DA" w:rsidRDefault="004003AB">
          <w:pPr>
            <w:pStyle w:val="TOC1"/>
            <w:tabs>
              <w:tab w:val="left" w:pos="440"/>
              <w:tab w:val="right" w:leader="dot" w:pos="9016"/>
            </w:tabs>
            <w:rPr>
              <w:rFonts w:asciiTheme="minorHAnsi" w:eastAsiaTheme="minorEastAsia" w:hAnsiTheme="minorHAnsi"/>
              <w:noProof/>
              <w:sz w:val="22"/>
              <w:lang w:eastAsia="fr-FR"/>
            </w:rPr>
          </w:pPr>
          <w:hyperlink w:anchor="_Toc369859057" w:history="1">
            <w:r w:rsidR="000654DA" w:rsidRPr="005A6E3E">
              <w:rPr>
                <w:rStyle w:val="Hyperlink"/>
                <w:rFonts w:eastAsia="MS Gothic"/>
                <w:noProof/>
              </w:rPr>
              <w:t>9.</w:t>
            </w:r>
            <w:r w:rsidR="000654DA">
              <w:rPr>
                <w:rFonts w:asciiTheme="minorHAnsi" w:eastAsiaTheme="minorEastAsia" w:hAnsiTheme="minorHAnsi"/>
                <w:noProof/>
                <w:sz w:val="22"/>
                <w:lang w:eastAsia="fr-FR"/>
              </w:rPr>
              <w:tab/>
            </w:r>
            <w:r w:rsidR="000654DA" w:rsidRPr="005A6E3E">
              <w:rPr>
                <w:rStyle w:val="Hyperlink"/>
                <w:rFonts w:eastAsia="MS Gothic"/>
                <w:noProof/>
              </w:rPr>
              <w:t xml:space="preserve">PÉRIODE DE SURESTARIE GRATUITE (CONTENEURS DE LOCATION) </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_Toc369859057 \h </w:instrText>
            </w:r>
            <w:r w:rsidR="000654DA">
              <w:rPr>
                <w:noProof/>
                <w:webHidden/>
              </w:rPr>
            </w:r>
            <w:r w:rsidR="000654DA">
              <w:rPr>
                <w:noProof/>
                <w:webHidden/>
              </w:rPr>
              <w:fldChar w:fldCharType="separate"/>
            </w:r>
            <w:r w:rsidR="000654DA">
              <w:rPr>
                <w:noProof/>
                <w:webHidden/>
              </w:rPr>
              <w:t>10</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58" w:history="1">
            <w:r w:rsidR="000654DA" w:rsidRPr="005A6E3E">
              <w:rPr>
                <w:rStyle w:val="Hyperlink"/>
                <w:noProof/>
              </w:rPr>
              <w:t>10.</w:t>
            </w:r>
            <w:r w:rsidR="000654DA">
              <w:rPr>
                <w:rFonts w:asciiTheme="minorHAnsi" w:eastAsiaTheme="minorEastAsia" w:hAnsiTheme="minorHAnsi"/>
                <w:noProof/>
                <w:sz w:val="22"/>
                <w:lang w:eastAsia="fr-FR"/>
              </w:rPr>
              <w:tab/>
            </w:r>
            <w:r w:rsidR="000654DA" w:rsidRPr="005A6E3E">
              <w:rPr>
                <w:rStyle w:val="Hyperlink"/>
                <w:noProof/>
              </w:rPr>
              <w:t>NOTIFICATION DE RETARD</w:t>
            </w:r>
            <w:r w:rsidR="000654DA">
              <w:rPr>
                <w:noProof/>
                <w:webHidden/>
              </w:rPr>
              <w:tab/>
            </w:r>
            <w:r w:rsidR="000654DA">
              <w:rPr>
                <w:noProof/>
                <w:webHidden/>
              </w:rPr>
              <w:fldChar w:fldCharType="begin"/>
            </w:r>
            <w:r w:rsidR="000654DA">
              <w:rPr>
                <w:noProof/>
                <w:webHidden/>
              </w:rPr>
              <w:instrText xml:space="preserve"> PAGEREF _Toc369859058 \h </w:instrText>
            </w:r>
            <w:r w:rsidR="000654DA">
              <w:rPr>
                <w:noProof/>
                <w:webHidden/>
              </w:rPr>
            </w:r>
            <w:r w:rsidR="000654DA">
              <w:rPr>
                <w:noProof/>
                <w:webHidden/>
              </w:rPr>
              <w:fldChar w:fldCharType="separate"/>
            </w:r>
            <w:r w:rsidR="000654DA">
              <w:rPr>
                <w:noProof/>
                <w:webHidden/>
              </w:rPr>
              <w:t>10</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59" w:history="1">
            <w:r w:rsidR="000654DA" w:rsidRPr="005A6E3E">
              <w:rPr>
                <w:rStyle w:val="Hyperlink"/>
                <w:noProof/>
              </w:rPr>
              <w:t>11.</w:t>
            </w:r>
            <w:r w:rsidR="000654DA">
              <w:rPr>
                <w:rFonts w:asciiTheme="minorHAnsi" w:eastAsiaTheme="minorEastAsia" w:hAnsiTheme="minorHAnsi"/>
                <w:noProof/>
                <w:sz w:val="22"/>
                <w:lang w:eastAsia="fr-FR"/>
              </w:rPr>
              <w:tab/>
            </w:r>
            <w:r w:rsidR="000654DA" w:rsidRPr="005A6E3E">
              <w:rPr>
                <w:rStyle w:val="Hyperlink"/>
                <w:noProof/>
              </w:rPr>
              <w:t>RÉCEPTION ET CONFIRMATION DES BONS DE COMMANDE</w:t>
            </w:r>
            <w:r w:rsidR="000654DA">
              <w:rPr>
                <w:noProof/>
                <w:webHidden/>
              </w:rPr>
              <w:tab/>
            </w:r>
            <w:r w:rsidR="000654DA">
              <w:rPr>
                <w:noProof/>
                <w:webHidden/>
              </w:rPr>
              <w:fldChar w:fldCharType="begin"/>
            </w:r>
            <w:r w:rsidR="000654DA">
              <w:rPr>
                <w:noProof/>
                <w:webHidden/>
              </w:rPr>
              <w:instrText xml:space="preserve"> PAGEREF _Toc369859059 \h </w:instrText>
            </w:r>
            <w:r w:rsidR="000654DA">
              <w:rPr>
                <w:noProof/>
                <w:webHidden/>
              </w:rPr>
            </w:r>
            <w:r w:rsidR="000654DA">
              <w:rPr>
                <w:noProof/>
                <w:webHidden/>
              </w:rPr>
              <w:fldChar w:fldCharType="separate"/>
            </w:r>
            <w:r w:rsidR="000654DA">
              <w:rPr>
                <w:noProof/>
                <w:webHidden/>
              </w:rPr>
              <w:t>11</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60" w:history="1">
            <w:r w:rsidR="000654DA" w:rsidRPr="005A6E3E">
              <w:rPr>
                <w:rStyle w:val="Hyperlink"/>
                <w:noProof/>
              </w:rPr>
              <w:t>12.</w:t>
            </w:r>
            <w:r w:rsidR="000654DA">
              <w:rPr>
                <w:rFonts w:asciiTheme="minorHAnsi" w:eastAsiaTheme="minorEastAsia" w:hAnsiTheme="minorHAnsi"/>
                <w:noProof/>
                <w:sz w:val="22"/>
                <w:lang w:eastAsia="fr-FR"/>
              </w:rPr>
              <w:tab/>
            </w:r>
            <w:r w:rsidR="000654DA" w:rsidRPr="005A6E3E">
              <w:rPr>
                <w:rStyle w:val="Hyperlink"/>
                <w:noProof/>
              </w:rPr>
              <w:t>QUALITÉ DES BIENS ET DES SERVICES</w:t>
            </w:r>
            <w:r w:rsidR="000654DA">
              <w:rPr>
                <w:noProof/>
                <w:webHidden/>
              </w:rPr>
              <w:tab/>
            </w:r>
            <w:r w:rsidR="000654DA">
              <w:rPr>
                <w:noProof/>
                <w:webHidden/>
              </w:rPr>
              <w:fldChar w:fldCharType="begin"/>
            </w:r>
            <w:r w:rsidR="000654DA">
              <w:rPr>
                <w:noProof/>
                <w:webHidden/>
              </w:rPr>
              <w:instrText xml:space="preserve"> PAGEREF _Toc369859060 \h </w:instrText>
            </w:r>
            <w:r w:rsidR="000654DA">
              <w:rPr>
                <w:noProof/>
                <w:webHidden/>
              </w:rPr>
            </w:r>
            <w:r w:rsidR="000654DA">
              <w:rPr>
                <w:noProof/>
                <w:webHidden/>
              </w:rPr>
              <w:fldChar w:fldCharType="separate"/>
            </w:r>
            <w:r w:rsidR="000654DA">
              <w:rPr>
                <w:noProof/>
                <w:webHidden/>
              </w:rPr>
              <w:t>11</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61" w:history="1">
            <w:r w:rsidR="000654DA" w:rsidRPr="005A6E3E">
              <w:rPr>
                <w:rStyle w:val="Hyperlink"/>
                <w:rFonts w:eastAsia="MS Gothic"/>
                <w:noProof/>
              </w:rPr>
              <w:t>13.</w:t>
            </w:r>
            <w:r w:rsidR="000654DA">
              <w:rPr>
                <w:rFonts w:asciiTheme="minorHAnsi" w:eastAsiaTheme="minorEastAsia" w:hAnsiTheme="minorHAnsi"/>
                <w:noProof/>
                <w:sz w:val="22"/>
                <w:lang w:eastAsia="fr-FR"/>
              </w:rPr>
              <w:tab/>
            </w:r>
            <w:r w:rsidR="000654DA" w:rsidRPr="005A6E3E">
              <w:rPr>
                <w:rStyle w:val="Hyperlink"/>
                <w:rFonts w:eastAsia="MS Gothic"/>
                <w:noProof/>
              </w:rPr>
              <w:t xml:space="preserve">DÉCLARATION DES BIENS </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_Toc369859061 \h </w:instrText>
            </w:r>
            <w:r w:rsidR="000654DA">
              <w:rPr>
                <w:noProof/>
                <w:webHidden/>
              </w:rPr>
            </w:r>
            <w:r w:rsidR="000654DA">
              <w:rPr>
                <w:noProof/>
                <w:webHidden/>
              </w:rPr>
              <w:fldChar w:fldCharType="separate"/>
            </w:r>
            <w:r w:rsidR="000654DA">
              <w:rPr>
                <w:noProof/>
                <w:webHidden/>
              </w:rPr>
              <w:t>12</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62" w:history="1">
            <w:r w:rsidR="000654DA" w:rsidRPr="005A6E3E">
              <w:rPr>
                <w:rStyle w:val="Hyperlink"/>
                <w:rFonts w:eastAsia="MS Gothic"/>
                <w:noProof/>
              </w:rPr>
              <w:t>14.</w:t>
            </w:r>
            <w:r w:rsidR="000654DA">
              <w:rPr>
                <w:rFonts w:asciiTheme="minorHAnsi" w:eastAsiaTheme="minorEastAsia" w:hAnsiTheme="minorHAnsi"/>
                <w:noProof/>
                <w:sz w:val="22"/>
                <w:lang w:eastAsia="fr-FR"/>
              </w:rPr>
              <w:tab/>
            </w:r>
            <w:r w:rsidR="000654DA" w:rsidRPr="005A6E3E">
              <w:rPr>
                <w:rStyle w:val="Hyperlink"/>
                <w:noProof/>
              </w:rPr>
              <w:t xml:space="preserve">CERTIFICAT DE STÉRILISATION </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_Toc369859062 \h </w:instrText>
            </w:r>
            <w:r w:rsidR="000654DA">
              <w:rPr>
                <w:noProof/>
                <w:webHidden/>
              </w:rPr>
            </w:r>
            <w:r w:rsidR="000654DA">
              <w:rPr>
                <w:noProof/>
                <w:webHidden/>
              </w:rPr>
              <w:fldChar w:fldCharType="separate"/>
            </w:r>
            <w:r w:rsidR="000654DA">
              <w:rPr>
                <w:noProof/>
                <w:webHidden/>
              </w:rPr>
              <w:t>12</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63" w:history="1">
            <w:r w:rsidR="000654DA" w:rsidRPr="005A6E3E">
              <w:rPr>
                <w:rStyle w:val="Hyperlink"/>
                <w:rFonts w:eastAsia="MS Gothic"/>
                <w:noProof/>
              </w:rPr>
              <w:t>15.</w:t>
            </w:r>
            <w:r w:rsidR="000654DA">
              <w:rPr>
                <w:rFonts w:asciiTheme="minorHAnsi" w:eastAsiaTheme="minorEastAsia" w:hAnsiTheme="minorHAnsi"/>
                <w:noProof/>
                <w:sz w:val="22"/>
                <w:lang w:eastAsia="fr-FR"/>
              </w:rPr>
              <w:tab/>
            </w:r>
            <w:r w:rsidR="000654DA" w:rsidRPr="005A6E3E">
              <w:rPr>
                <w:rStyle w:val="Hyperlink"/>
                <w:noProof/>
              </w:rPr>
              <w:t xml:space="preserve">ALIMENTATION ÉLECTRIQUE </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_Toc369859063 \h </w:instrText>
            </w:r>
            <w:r w:rsidR="000654DA">
              <w:rPr>
                <w:noProof/>
                <w:webHidden/>
              </w:rPr>
            </w:r>
            <w:r w:rsidR="000654DA">
              <w:rPr>
                <w:noProof/>
                <w:webHidden/>
              </w:rPr>
              <w:fldChar w:fldCharType="separate"/>
            </w:r>
            <w:r w:rsidR="000654DA">
              <w:rPr>
                <w:noProof/>
                <w:webHidden/>
              </w:rPr>
              <w:t>12</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64" w:history="1">
            <w:r w:rsidR="000654DA" w:rsidRPr="005A6E3E">
              <w:rPr>
                <w:rStyle w:val="Hyperlink"/>
                <w:rFonts w:eastAsia="MS Gothic"/>
                <w:noProof/>
              </w:rPr>
              <w:t>16.</w:t>
            </w:r>
            <w:r w:rsidR="000654DA">
              <w:rPr>
                <w:rFonts w:asciiTheme="minorHAnsi" w:eastAsiaTheme="minorEastAsia" w:hAnsiTheme="minorHAnsi"/>
                <w:noProof/>
                <w:sz w:val="22"/>
                <w:lang w:eastAsia="fr-FR"/>
              </w:rPr>
              <w:tab/>
            </w:r>
            <w:r w:rsidR="000654DA" w:rsidRPr="005A6E3E">
              <w:rPr>
                <w:rStyle w:val="Hyperlink"/>
                <w:noProof/>
              </w:rPr>
              <w:t xml:space="preserve">MANUELS ET NOTICES D’UTILISATION </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_Toc369859064 \h </w:instrText>
            </w:r>
            <w:r w:rsidR="000654DA">
              <w:rPr>
                <w:noProof/>
                <w:webHidden/>
              </w:rPr>
            </w:r>
            <w:r w:rsidR="000654DA">
              <w:rPr>
                <w:noProof/>
                <w:webHidden/>
              </w:rPr>
              <w:fldChar w:fldCharType="separate"/>
            </w:r>
            <w:r w:rsidR="000654DA">
              <w:rPr>
                <w:noProof/>
                <w:webHidden/>
              </w:rPr>
              <w:t>12</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65" w:history="1">
            <w:r w:rsidR="000654DA" w:rsidRPr="005A6E3E">
              <w:rPr>
                <w:rStyle w:val="Hyperlink"/>
                <w:rFonts w:eastAsia="MS Gothic"/>
                <w:noProof/>
              </w:rPr>
              <w:t>17.</w:t>
            </w:r>
            <w:r w:rsidR="000654DA">
              <w:rPr>
                <w:rFonts w:asciiTheme="minorHAnsi" w:eastAsiaTheme="minorEastAsia" w:hAnsiTheme="minorHAnsi"/>
                <w:noProof/>
                <w:sz w:val="22"/>
                <w:lang w:eastAsia="fr-FR"/>
              </w:rPr>
              <w:tab/>
            </w:r>
            <w:r w:rsidR="000654DA" w:rsidRPr="005A6E3E">
              <w:rPr>
                <w:rStyle w:val="Hyperlink"/>
                <w:noProof/>
              </w:rPr>
              <w:t xml:space="preserve">GARANTIE STANDARD DU PRODUIT </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_Toc369859065 \h </w:instrText>
            </w:r>
            <w:r w:rsidR="000654DA">
              <w:rPr>
                <w:noProof/>
                <w:webHidden/>
              </w:rPr>
            </w:r>
            <w:r w:rsidR="000654DA">
              <w:rPr>
                <w:noProof/>
                <w:webHidden/>
              </w:rPr>
              <w:fldChar w:fldCharType="separate"/>
            </w:r>
            <w:r w:rsidR="000654DA">
              <w:rPr>
                <w:noProof/>
                <w:webHidden/>
              </w:rPr>
              <w:t>12</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66" w:history="1">
            <w:r w:rsidR="000654DA" w:rsidRPr="005A6E3E">
              <w:rPr>
                <w:rStyle w:val="Hyperlink"/>
                <w:rFonts w:eastAsia="MS Gothic"/>
                <w:noProof/>
              </w:rPr>
              <w:t>18.</w:t>
            </w:r>
            <w:r w:rsidR="000654DA">
              <w:rPr>
                <w:rFonts w:asciiTheme="minorHAnsi" w:eastAsiaTheme="minorEastAsia" w:hAnsiTheme="minorHAnsi"/>
                <w:noProof/>
                <w:sz w:val="22"/>
                <w:lang w:eastAsia="fr-FR"/>
              </w:rPr>
              <w:tab/>
            </w:r>
            <w:r w:rsidR="000654DA" w:rsidRPr="005A6E3E">
              <w:rPr>
                <w:rStyle w:val="Hyperlink"/>
                <w:noProof/>
              </w:rPr>
              <w:t xml:space="preserve">SERVICE APRÈS-VENTE </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_Toc369859066 \h </w:instrText>
            </w:r>
            <w:r w:rsidR="000654DA">
              <w:rPr>
                <w:noProof/>
                <w:webHidden/>
              </w:rPr>
            </w:r>
            <w:r w:rsidR="000654DA">
              <w:rPr>
                <w:noProof/>
                <w:webHidden/>
              </w:rPr>
              <w:fldChar w:fldCharType="separate"/>
            </w:r>
            <w:r w:rsidR="000654DA">
              <w:rPr>
                <w:noProof/>
                <w:webHidden/>
              </w:rPr>
              <w:t>13</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67" w:history="1">
            <w:r w:rsidR="000654DA" w:rsidRPr="005A6E3E">
              <w:rPr>
                <w:rStyle w:val="Hyperlink"/>
                <w:rFonts w:eastAsia="MS Gothic"/>
                <w:noProof/>
              </w:rPr>
              <w:t>19.</w:t>
            </w:r>
            <w:r w:rsidR="000654DA">
              <w:rPr>
                <w:rFonts w:asciiTheme="minorHAnsi" w:eastAsiaTheme="minorEastAsia" w:hAnsiTheme="minorHAnsi"/>
                <w:noProof/>
                <w:sz w:val="22"/>
                <w:lang w:eastAsia="fr-FR"/>
              </w:rPr>
              <w:tab/>
            </w:r>
            <w:r w:rsidR="000654DA" w:rsidRPr="005A6E3E">
              <w:rPr>
                <w:rStyle w:val="Hyperlink"/>
                <w:noProof/>
              </w:rPr>
              <w:t xml:space="preserve">FORMATION, INSTALLATION ET SUPPORT TECHNIQUE </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_Toc369859067 \h </w:instrText>
            </w:r>
            <w:r w:rsidR="000654DA">
              <w:rPr>
                <w:noProof/>
                <w:webHidden/>
              </w:rPr>
            </w:r>
            <w:r w:rsidR="000654DA">
              <w:rPr>
                <w:noProof/>
                <w:webHidden/>
              </w:rPr>
              <w:fldChar w:fldCharType="separate"/>
            </w:r>
            <w:r w:rsidR="000654DA">
              <w:rPr>
                <w:noProof/>
                <w:webHidden/>
              </w:rPr>
              <w:t>13</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68" w:history="1">
            <w:r w:rsidR="000654DA" w:rsidRPr="005A6E3E">
              <w:rPr>
                <w:rStyle w:val="Hyperlink"/>
                <w:rFonts w:eastAsia="MS Gothic"/>
                <w:noProof/>
              </w:rPr>
              <w:t>20.</w:t>
            </w:r>
            <w:r w:rsidR="000654DA">
              <w:rPr>
                <w:rFonts w:asciiTheme="minorHAnsi" w:eastAsiaTheme="minorEastAsia" w:hAnsiTheme="minorHAnsi"/>
                <w:noProof/>
                <w:sz w:val="22"/>
                <w:lang w:eastAsia="fr-FR"/>
              </w:rPr>
              <w:tab/>
            </w:r>
            <w:r w:rsidR="000654DA" w:rsidRPr="005A6E3E">
              <w:rPr>
                <w:rStyle w:val="Hyperlink"/>
                <w:noProof/>
              </w:rPr>
              <w:t xml:space="preserve">SERVICE D’ENTRETIEN PRÉVENTIF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_Toc369859068 \h </w:instrText>
            </w:r>
            <w:r w:rsidR="000654DA">
              <w:rPr>
                <w:noProof/>
                <w:webHidden/>
              </w:rPr>
            </w:r>
            <w:r w:rsidR="000654DA">
              <w:rPr>
                <w:noProof/>
                <w:webHidden/>
              </w:rPr>
              <w:fldChar w:fldCharType="separate"/>
            </w:r>
            <w:r w:rsidR="000654DA">
              <w:rPr>
                <w:noProof/>
                <w:webHidden/>
              </w:rPr>
              <w:t>13</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69" w:history="1">
            <w:r w:rsidR="000654DA" w:rsidRPr="005A6E3E">
              <w:rPr>
                <w:rStyle w:val="Hyperlink"/>
                <w:rFonts w:eastAsia="MS Gothic"/>
                <w:noProof/>
              </w:rPr>
              <w:t>21.</w:t>
            </w:r>
            <w:r w:rsidR="000654DA">
              <w:rPr>
                <w:rFonts w:asciiTheme="minorHAnsi" w:eastAsiaTheme="minorEastAsia" w:hAnsiTheme="minorHAnsi"/>
                <w:noProof/>
                <w:sz w:val="22"/>
                <w:lang w:eastAsia="fr-FR"/>
              </w:rPr>
              <w:tab/>
            </w:r>
            <w:r w:rsidR="000654DA" w:rsidRPr="005A6E3E">
              <w:rPr>
                <w:rStyle w:val="Hyperlink"/>
                <w:noProof/>
              </w:rPr>
              <w:t xml:space="preserve">CONDITIONS TECHNIQUES RELATIVES AUX SITES DE FABRICATION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_Toc369859069 \h </w:instrText>
            </w:r>
            <w:r w:rsidR="000654DA">
              <w:rPr>
                <w:noProof/>
                <w:webHidden/>
              </w:rPr>
            </w:r>
            <w:r w:rsidR="000654DA">
              <w:rPr>
                <w:noProof/>
                <w:webHidden/>
              </w:rPr>
              <w:fldChar w:fldCharType="separate"/>
            </w:r>
            <w:r w:rsidR="000654DA">
              <w:rPr>
                <w:noProof/>
                <w:webHidden/>
              </w:rPr>
              <w:t>13</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70" w:history="1">
            <w:r w:rsidR="000654DA" w:rsidRPr="005A6E3E">
              <w:rPr>
                <w:rStyle w:val="Hyperlink"/>
                <w:rFonts w:eastAsia="MS Gothic"/>
                <w:noProof/>
              </w:rPr>
              <w:t>22.</w:t>
            </w:r>
            <w:r w:rsidR="000654DA">
              <w:rPr>
                <w:rFonts w:asciiTheme="minorHAnsi" w:eastAsiaTheme="minorEastAsia" w:hAnsiTheme="minorHAnsi"/>
                <w:noProof/>
                <w:sz w:val="22"/>
                <w:lang w:eastAsia="fr-FR"/>
              </w:rPr>
              <w:tab/>
            </w:r>
            <w:r w:rsidR="000654DA" w:rsidRPr="005A6E3E">
              <w:rPr>
                <w:rStyle w:val="Hyperlink"/>
                <w:noProof/>
              </w:rPr>
              <w:t xml:space="preserve">EMBALLAGE POUR LES LIVRAISONS INTERNATIONALES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_Toc369859070 \h </w:instrText>
            </w:r>
            <w:r w:rsidR="000654DA">
              <w:rPr>
                <w:noProof/>
                <w:webHidden/>
              </w:rPr>
            </w:r>
            <w:r w:rsidR="000654DA">
              <w:rPr>
                <w:noProof/>
                <w:webHidden/>
              </w:rPr>
              <w:fldChar w:fldCharType="separate"/>
            </w:r>
            <w:r w:rsidR="000654DA">
              <w:rPr>
                <w:noProof/>
                <w:webHidden/>
              </w:rPr>
              <w:t>14</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71" w:history="1">
            <w:r w:rsidR="000654DA" w:rsidRPr="005A6E3E">
              <w:rPr>
                <w:rStyle w:val="Hyperlink"/>
                <w:rFonts w:eastAsia="MS Gothic"/>
                <w:noProof/>
              </w:rPr>
              <w:t>23.</w:t>
            </w:r>
            <w:r w:rsidR="000654DA">
              <w:rPr>
                <w:rFonts w:asciiTheme="minorHAnsi" w:eastAsiaTheme="minorEastAsia" w:hAnsiTheme="minorHAnsi"/>
                <w:noProof/>
                <w:sz w:val="22"/>
                <w:lang w:eastAsia="fr-FR"/>
              </w:rPr>
              <w:tab/>
            </w:r>
            <w:r w:rsidR="000654DA" w:rsidRPr="005A6E3E">
              <w:rPr>
                <w:rStyle w:val="Hyperlink"/>
                <w:noProof/>
              </w:rPr>
              <w:t xml:space="preserve">MARQUAGE ET ÉTIQUETAGE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_Toc369859071 \h </w:instrText>
            </w:r>
            <w:r w:rsidR="000654DA">
              <w:rPr>
                <w:noProof/>
                <w:webHidden/>
              </w:rPr>
            </w:r>
            <w:r w:rsidR="000654DA">
              <w:rPr>
                <w:noProof/>
                <w:webHidden/>
              </w:rPr>
              <w:fldChar w:fldCharType="separate"/>
            </w:r>
            <w:r w:rsidR="000654DA">
              <w:rPr>
                <w:noProof/>
                <w:webHidden/>
              </w:rPr>
              <w:t>14</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72" w:history="1">
            <w:r w:rsidR="000654DA" w:rsidRPr="005A6E3E">
              <w:rPr>
                <w:rStyle w:val="Hyperlink"/>
                <w:rFonts w:eastAsia="MS Gothic"/>
                <w:noProof/>
              </w:rPr>
              <w:t>24.</w:t>
            </w:r>
            <w:r w:rsidR="000654DA">
              <w:rPr>
                <w:rFonts w:asciiTheme="minorHAnsi" w:eastAsiaTheme="minorEastAsia" w:hAnsiTheme="minorHAnsi"/>
                <w:noProof/>
                <w:sz w:val="22"/>
                <w:lang w:eastAsia="fr-FR"/>
              </w:rPr>
              <w:tab/>
            </w:r>
            <w:r w:rsidR="000654DA" w:rsidRPr="005A6E3E">
              <w:rPr>
                <w:rStyle w:val="Hyperlink"/>
                <w:noProof/>
              </w:rPr>
              <w:t xml:space="preserve">LISTE DE CONTENU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_Toc369859072 \h </w:instrText>
            </w:r>
            <w:r w:rsidR="000654DA">
              <w:rPr>
                <w:noProof/>
                <w:webHidden/>
              </w:rPr>
            </w:r>
            <w:r w:rsidR="000654DA">
              <w:rPr>
                <w:noProof/>
                <w:webHidden/>
              </w:rPr>
              <w:fldChar w:fldCharType="separate"/>
            </w:r>
            <w:r w:rsidR="000654DA">
              <w:rPr>
                <w:noProof/>
                <w:webHidden/>
              </w:rPr>
              <w:t>15</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73" w:history="1">
            <w:r w:rsidR="000654DA" w:rsidRPr="005A6E3E">
              <w:rPr>
                <w:rStyle w:val="Hyperlink"/>
                <w:rFonts w:eastAsia="MS Gothic"/>
                <w:noProof/>
              </w:rPr>
              <w:t>25.</w:t>
            </w:r>
            <w:r w:rsidR="000654DA">
              <w:rPr>
                <w:rFonts w:asciiTheme="minorHAnsi" w:eastAsiaTheme="minorEastAsia" w:hAnsiTheme="minorHAnsi"/>
                <w:noProof/>
                <w:sz w:val="22"/>
                <w:lang w:eastAsia="fr-FR"/>
              </w:rPr>
              <w:tab/>
            </w:r>
            <w:r w:rsidR="000654DA" w:rsidRPr="005A6E3E">
              <w:rPr>
                <w:rStyle w:val="Hyperlink"/>
                <w:noProof/>
              </w:rPr>
              <w:t xml:space="preserve">EMBALLAGE EN KIT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_Toc369859073 \h </w:instrText>
            </w:r>
            <w:r w:rsidR="000654DA">
              <w:rPr>
                <w:noProof/>
                <w:webHidden/>
              </w:rPr>
            </w:r>
            <w:r w:rsidR="000654DA">
              <w:rPr>
                <w:noProof/>
                <w:webHidden/>
              </w:rPr>
              <w:fldChar w:fldCharType="separate"/>
            </w:r>
            <w:r w:rsidR="000654DA">
              <w:rPr>
                <w:noProof/>
                <w:webHidden/>
              </w:rPr>
              <w:t>15</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74" w:history="1">
            <w:r w:rsidR="000654DA" w:rsidRPr="005A6E3E">
              <w:rPr>
                <w:rStyle w:val="Hyperlink"/>
                <w:noProof/>
              </w:rPr>
              <w:t>26.</w:t>
            </w:r>
            <w:r w:rsidR="000654DA">
              <w:rPr>
                <w:rFonts w:asciiTheme="minorHAnsi" w:eastAsiaTheme="minorEastAsia" w:hAnsiTheme="minorHAnsi"/>
                <w:noProof/>
                <w:sz w:val="22"/>
                <w:lang w:eastAsia="fr-FR"/>
              </w:rPr>
              <w:tab/>
            </w:r>
            <w:r w:rsidR="000654DA" w:rsidRPr="005A6E3E">
              <w:rPr>
                <w:rStyle w:val="Hyperlink"/>
                <w:noProof/>
              </w:rPr>
              <w:t>RAPPORTS</w:t>
            </w:r>
            <w:r w:rsidR="000654DA">
              <w:rPr>
                <w:noProof/>
                <w:webHidden/>
              </w:rPr>
              <w:tab/>
            </w:r>
            <w:r w:rsidR="000654DA">
              <w:rPr>
                <w:noProof/>
                <w:webHidden/>
              </w:rPr>
              <w:fldChar w:fldCharType="begin"/>
            </w:r>
            <w:r w:rsidR="000654DA">
              <w:rPr>
                <w:noProof/>
                <w:webHidden/>
              </w:rPr>
              <w:instrText xml:space="preserve"> PAGEREF _Toc369859074 \h </w:instrText>
            </w:r>
            <w:r w:rsidR="000654DA">
              <w:rPr>
                <w:noProof/>
                <w:webHidden/>
              </w:rPr>
            </w:r>
            <w:r w:rsidR="000654DA">
              <w:rPr>
                <w:noProof/>
                <w:webHidden/>
              </w:rPr>
              <w:fldChar w:fldCharType="separate"/>
            </w:r>
            <w:r w:rsidR="000654DA">
              <w:rPr>
                <w:noProof/>
                <w:webHidden/>
              </w:rPr>
              <w:t>16</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75" w:history="1">
            <w:r w:rsidR="000654DA" w:rsidRPr="005A6E3E">
              <w:rPr>
                <w:rStyle w:val="Hyperlink"/>
                <w:rFonts w:eastAsia="MS Gothic"/>
                <w:noProof/>
              </w:rPr>
              <w:t>27.</w:t>
            </w:r>
            <w:r w:rsidR="000654DA">
              <w:rPr>
                <w:rFonts w:asciiTheme="minorHAnsi" w:eastAsiaTheme="minorEastAsia" w:hAnsiTheme="minorHAnsi"/>
                <w:noProof/>
                <w:sz w:val="22"/>
                <w:lang w:eastAsia="fr-FR"/>
              </w:rPr>
              <w:tab/>
            </w:r>
            <w:r w:rsidR="000654DA" w:rsidRPr="005A6E3E">
              <w:rPr>
                <w:rStyle w:val="Hyperlink"/>
                <w:noProof/>
              </w:rPr>
              <w:t xml:space="preserve">STOCKS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_Toc369859075 \h </w:instrText>
            </w:r>
            <w:r w:rsidR="000654DA">
              <w:rPr>
                <w:noProof/>
                <w:webHidden/>
              </w:rPr>
            </w:r>
            <w:r w:rsidR="000654DA">
              <w:rPr>
                <w:noProof/>
                <w:webHidden/>
              </w:rPr>
              <w:fldChar w:fldCharType="separate"/>
            </w:r>
            <w:r w:rsidR="000654DA">
              <w:rPr>
                <w:noProof/>
                <w:webHidden/>
              </w:rPr>
              <w:t>16</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76" w:history="1">
            <w:r w:rsidR="000654DA" w:rsidRPr="005A6E3E">
              <w:rPr>
                <w:rStyle w:val="Hyperlink"/>
                <w:rFonts w:eastAsia="MS Gothic"/>
                <w:noProof/>
              </w:rPr>
              <w:t>28.</w:t>
            </w:r>
            <w:r w:rsidR="000654DA">
              <w:rPr>
                <w:rFonts w:asciiTheme="minorHAnsi" w:eastAsiaTheme="minorEastAsia" w:hAnsiTheme="minorHAnsi"/>
                <w:noProof/>
                <w:sz w:val="22"/>
                <w:lang w:eastAsia="fr-FR"/>
              </w:rPr>
              <w:tab/>
            </w:r>
            <w:r w:rsidR="000654DA" w:rsidRPr="005A6E3E">
              <w:rPr>
                <w:rStyle w:val="Hyperlink"/>
                <w:noProof/>
              </w:rPr>
              <w:t xml:space="preserve">INSPECTION ET ESSAIS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_Toc369859076 \h </w:instrText>
            </w:r>
            <w:r w:rsidR="000654DA">
              <w:rPr>
                <w:noProof/>
                <w:webHidden/>
              </w:rPr>
            </w:r>
            <w:r w:rsidR="000654DA">
              <w:rPr>
                <w:noProof/>
                <w:webHidden/>
              </w:rPr>
              <w:fldChar w:fldCharType="separate"/>
            </w:r>
            <w:r w:rsidR="000654DA">
              <w:rPr>
                <w:noProof/>
                <w:webHidden/>
              </w:rPr>
              <w:t>16</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77" w:history="1">
            <w:r w:rsidR="000654DA" w:rsidRPr="005A6E3E">
              <w:rPr>
                <w:rStyle w:val="Hyperlink"/>
                <w:noProof/>
              </w:rPr>
              <w:t>29.</w:t>
            </w:r>
            <w:r w:rsidR="000654DA">
              <w:rPr>
                <w:rFonts w:asciiTheme="minorHAnsi" w:eastAsiaTheme="minorEastAsia" w:hAnsiTheme="minorHAnsi"/>
                <w:noProof/>
                <w:sz w:val="22"/>
                <w:lang w:eastAsia="fr-FR"/>
              </w:rPr>
              <w:tab/>
            </w:r>
            <w:r w:rsidR="000654DA" w:rsidRPr="005A6E3E">
              <w:rPr>
                <w:rStyle w:val="Hyperlink"/>
                <w:noProof/>
              </w:rPr>
              <w:t>RÉSOLUTION DES DISPUTES</w:t>
            </w:r>
            <w:r w:rsidR="000654DA">
              <w:rPr>
                <w:noProof/>
                <w:webHidden/>
              </w:rPr>
              <w:tab/>
            </w:r>
            <w:r w:rsidR="000654DA">
              <w:rPr>
                <w:noProof/>
                <w:webHidden/>
              </w:rPr>
              <w:fldChar w:fldCharType="begin"/>
            </w:r>
            <w:r w:rsidR="000654DA">
              <w:rPr>
                <w:noProof/>
                <w:webHidden/>
              </w:rPr>
              <w:instrText xml:space="preserve"> PAGEREF _Toc369859077 \h </w:instrText>
            </w:r>
            <w:r w:rsidR="000654DA">
              <w:rPr>
                <w:noProof/>
                <w:webHidden/>
              </w:rPr>
            </w:r>
            <w:r w:rsidR="000654DA">
              <w:rPr>
                <w:noProof/>
                <w:webHidden/>
              </w:rPr>
              <w:fldChar w:fldCharType="separate"/>
            </w:r>
            <w:r w:rsidR="000654DA">
              <w:rPr>
                <w:noProof/>
                <w:webHidden/>
              </w:rPr>
              <w:t>17</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78" w:history="1">
            <w:r w:rsidR="000654DA" w:rsidRPr="005A6E3E">
              <w:rPr>
                <w:rStyle w:val="Hyperlink"/>
                <w:rFonts w:eastAsia="MS Gothic"/>
                <w:noProof/>
              </w:rPr>
              <w:t>30.</w:t>
            </w:r>
            <w:r w:rsidR="000654DA">
              <w:rPr>
                <w:rFonts w:asciiTheme="minorHAnsi" w:eastAsiaTheme="minorEastAsia" w:hAnsiTheme="minorHAnsi"/>
                <w:noProof/>
                <w:sz w:val="22"/>
                <w:lang w:eastAsia="fr-FR"/>
              </w:rPr>
              <w:tab/>
            </w:r>
            <w:r w:rsidR="000654DA" w:rsidRPr="005A6E3E">
              <w:rPr>
                <w:rStyle w:val="Hyperlink"/>
                <w:noProof/>
              </w:rPr>
              <w:t xml:space="preserve">GESTION DES RAPPELS DE PRODUITS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_Toc369859078 \h </w:instrText>
            </w:r>
            <w:r w:rsidR="000654DA">
              <w:rPr>
                <w:noProof/>
                <w:webHidden/>
              </w:rPr>
            </w:r>
            <w:r w:rsidR="000654DA">
              <w:rPr>
                <w:noProof/>
                <w:webHidden/>
              </w:rPr>
              <w:fldChar w:fldCharType="separate"/>
            </w:r>
            <w:r w:rsidR="000654DA">
              <w:rPr>
                <w:noProof/>
                <w:webHidden/>
              </w:rPr>
              <w:t>18</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79" w:history="1">
            <w:r w:rsidR="000654DA" w:rsidRPr="005A6E3E">
              <w:rPr>
                <w:rStyle w:val="Hyperlink"/>
                <w:rFonts w:eastAsia="MS Gothic"/>
                <w:noProof/>
              </w:rPr>
              <w:t>31.</w:t>
            </w:r>
            <w:r w:rsidR="000654DA">
              <w:rPr>
                <w:rFonts w:asciiTheme="minorHAnsi" w:eastAsiaTheme="minorEastAsia" w:hAnsiTheme="minorHAnsi"/>
                <w:noProof/>
                <w:sz w:val="22"/>
                <w:lang w:eastAsia="fr-FR"/>
              </w:rPr>
              <w:tab/>
            </w:r>
            <w:r w:rsidR="000654DA" w:rsidRPr="005A6E3E">
              <w:rPr>
                <w:rStyle w:val="Hyperlink"/>
                <w:noProof/>
              </w:rPr>
              <w:t xml:space="preserve">RESPONSABILITÉ DU FOURNISSEUR EN CAS DE REJET OU DE RENVOI DES PRODUITS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_Toc369859079 \h </w:instrText>
            </w:r>
            <w:r w:rsidR="000654DA">
              <w:rPr>
                <w:noProof/>
                <w:webHidden/>
              </w:rPr>
            </w:r>
            <w:r w:rsidR="000654DA">
              <w:rPr>
                <w:noProof/>
                <w:webHidden/>
              </w:rPr>
              <w:fldChar w:fldCharType="separate"/>
            </w:r>
            <w:r w:rsidR="000654DA">
              <w:rPr>
                <w:noProof/>
                <w:webHidden/>
              </w:rPr>
              <w:t>18</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80" w:history="1">
            <w:r w:rsidR="000654DA" w:rsidRPr="005A6E3E">
              <w:rPr>
                <w:rStyle w:val="Hyperlink"/>
                <w:rFonts w:eastAsia="MS Gothic"/>
                <w:noProof/>
              </w:rPr>
              <w:t>32.</w:t>
            </w:r>
            <w:r w:rsidR="000654DA">
              <w:rPr>
                <w:rFonts w:asciiTheme="minorHAnsi" w:eastAsiaTheme="minorEastAsia" w:hAnsiTheme="minorHAnsi"/>
                <w:noProof/>
                <w:sz w:val="22"/>
                <w:lang w:eastAsia="fr-FR"/>
              </w:rPr>
              <w:tab/>
            </w:r>
            <w:r w:rsidR="000654DA" w:rsidRPr="005A6E3E">
              <w:rPr>
                <w:rStyle w:val="Hyperlink"/>
                <w:rFonts w:eastAsia="MS Gothic"/>
                <w:noProof/>
              </w:rPr>
              <w:t>DROITS D’UTILISATION ET DE VENTE</w:t>
            </w:r>
            <w:r w:rsidR="000654DA">
              <w:rPr>
                <w:noProof/>
                <w:webHidden/>
              </w:rPr>
              <w:tab/>
            </w:r>
            <w:r w:rsidR="000654DA">
              <w:rPr>
                <w:noProof/>
                <w:webHidden/>
              </w:rPr>
              <w:fldChar w:fldCharType="begin"/>
            </w:r>
            <w:r w:rsidR="000654DA">
              <w:rPr>
                <w:noProof/>
                <w:webHidden/>
              </w:rPr>
              <w:instrText xml:space="preserve"> PAGEREF _Toc369859080 \h </w:instrText>
            </w:r>
            <w:r w:rsidR="000654DA">
              <w:rPr>
                <w:noProof/>
                <w:webHidden/>
              </w:rPr>
            </w:r>
            <w:r w:rsidR="000654DA">
              <w:rPr>
                <w:noProof/>
                <w:webHidden/>
              </w:rPr>
              <w:fldChar w:fldCharType="separate"/>
            </w:r>
            <w:r w:rsidR="000654DA">
              <w:rPr>
                <w:noProof/>
                <w:webHidden/>
              </w:rPr>
              <w:t>18</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81" w:history="1">
            <w:r w:rsidR="000654DA" w:rsidRPr="005A6E3E">
              <w:rPr>
                <w:rStyle w:val="Hyperlink"/>
                <w:rFonts w:eastAsia="MS Gothic"/>
                <w:noProof/>
              </w:rPr>
              <w:t>33.</w:t>
            </w:r>
            <w:r w:rsidR="000654DA">
              <w:rPr>
                <w:rFonts w:asciiTheme="minorHAnsi" w:eastAsiaTheme="minorEastAsia" w:hAnsiTheme="minorHAnsi"/>
                <w:noProof/>
                <w:sz w:val="22"/>
                <w:lang w:eastAsia="fr-FR"/>
              </w:rPr>
              <w:tab/>
            </w:r>
            <w:r w:rsidR="000654DA" w:rsidRPr="005A6E3E">
              <w:rPr>
                <w:rStyle w:val="Hyperlink"/>
                <w:rFonts w:eastAsia="MS Gothic"/>
                <w:noProof/>
              </w:rPr>
              <w:t>RÉSILIATION</w:t>
            </w:r>
            <w:r w:rsidR="000654DA">
              <w:rPr>
                <w:noProof/>
                <w:webHidden/>
              </w:rPr>
              <w:tab/>
            </w:r>
            <w:r w:rsidR="000654DA">
              <w:rPr>
                <w:noProof/>
                <w:webHidden/>
              </w:rPr>
              <w:fldChar w:fldCharType="begin"/>
            </w:r>
            <w:r w:rsidR="000654DA">
              <w:rPr>
                <w:noProof/>
                <w:webHidden/>
              </w:rPr>
              <w:instrText xml:space="preserve"> PAGEREF _Toc369859081 \h </w:instrText>
            </w:r>
            <w:r w:rsidR="000654DA">
              <w:rPr>
                <w:noProof/>
                <w:webHidden/>
              </w:rPr>
            </w:r>
            <w:r w:rsidR="000654DA">
              <w:rPr>
                <w:noProof/>
                <w:webHidden/>
              </w:rPr>
              <w:fldChar w:fldCharType="separate"/>
            </w:r>
            <w:r w:rsidR="000654DA">
              <w:rPr>
                <w:noProof/>
                <w:webHidden/>
              </w:rPr>
              <w:t>18</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82" w:history="1">
            <w:r w:rsidR="000654DA" w:rsidRPr="005A6E3E">
              <w:rPr>
                <w:rStyle w:val="Hyperlink"/>
                <w:rFonts w:eastAsia="MS Gothic"/>
                <w:noProof/>
              </w:rPr>
              <w:t>34.</w:t>
            </w:r>
            <w:r w:rsidR="000654DA">
              <w:rPr>
                <w:rFonts w:asciiTheme="minorHAnsi" w:eastAsiaTheme="minorEastAsia" w:hAnsiTheme="minorHAnsi"/>
                <w:noProof/>
                <w:sz w:val="22"/>
                <w:lang w:eastAsia="fr-FR"/>
              </w:rPr>
              <w:tab/>
            </w:r>
            <w:r w:rsidR="000654DA" w:rsidRPr="005A6E3E">
              <w:rPr>
                <w:rStyle w:val="Hyperlink"/>
                <w:noProof/>
              </w:rPr>
              <w:t xml:space="preserve">DOCUMENTS DE DOUANE ET D’EXPÉDITION </w:t>
            </w:r>
            <w:r w:rsidR="000654DA" w:rsidRPr="005A6E3E">
              <w:rPr>
                <w:rStyle w:val="Hyperlink"/>
                <w:i/>
                <w:noProof/>
              </w:rPr>
              <w:t>[</w:t>
            </w:r>
            <w:r w:rsidR="000654DA" w:rsidRPr="005A6E3E">
              <w:rPr>
                <w:rStyle w:val="Hyperlink"/>
                <w:rFonts w:eastAsia="MS Gothic"/>
                <w:i/>
                <w:noProof/>
                <w:highlight w:val="yellow"/>
              </w:rPr>
              <w:t>SUPPRIMER SI NÉCESSAIRE]</w:t>
            </w:r>
            <w:r w:rsidR="000654DA">
              <w:rPr>
                <w:noProof/>
                <w:webHidden/>
              </w:rPr>
              <w:tab/>
            </w:r>
            <w:r w:rsidR="000654DA">
              <w:rPr>
                <w:noProof/>
                <w:webHidden/>
              </w:rPr>
              <w:fldChar w:fldCharType="begin"/>
            </w:r>
            <w:r w:rsidR="000654DA">
              <w:rPr>
                <w:noProof/>
                <w:webHidden/>
              </w:rPr>
              <w:instrText xml:space="preserve"> PAGEREF _Toc369859082 \h </w:instrText>
            </w:r>
            <w:r w:rsidR="000654DA">
              <w:rPr>
                <w:noProof/>
                <w:webHidden/>
              </w:rPr>
            </w:r>
            <w:r w:rsidR="000654DA">
              <w:rPr>
                <w:noProof/>
                <w:webHidden/>
              </w:rPr>
              <w:fldChar w:fldCharType="separate"/>
            </w:r>
            <w:r w:rsidR="000654DA">
              <w:rPr>
                <w:noProof/>
                <w:webHidden/>
              </w:rPr>
              <w:t>19</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83" w:history="1">
            <w:r w:rsidR="000654DA" w:rsidRPr="005A6E3E">
              <w:rPr>
                <w:rStyle w:val="Hyperlink"/>
                <w:noProof/>
              </w:rPr>
              <w:t>35.</w:t>
            </w:r>
            <w:r w:rsidR="000654DA">
              <w:rPr>
                <w:rFonts w:asciiTheme="minorHAnsi" w:eastAsiaTheme="minorEastAsia" w:hAnsiTheme="minorHAnsi"/>
                <w:noProof/>
                <w:sz w:val="22"/>
                <w:lang w:eastAsia="fr-FR"/>
              </w:rPr>
              <w:tab/>
            </w:r>
            <w:r w:rsidR="000654DA" w:rsidRPr="005A6E3E">
              <w:rPr>
                <w:rStyle w:val="Hyperlink"/>
                <w:noProof/>
              </w:rPr>
              <w:t>PAIEMENT ET FACTURATION</w:t>
            </w:r>
            <w:r w:rsidR="000654DA">
              <w:rPr>
                <w:noProof/>
                <w:webHidden/>
              </w:rPr>
              <w:tab/>
            </w:r>
            <w:r w:rsidR="000654DA">
              <w:rPr>
                <w:noProof/>
                <w:webHidden/>
              </w:rPr>
              <w:fldChar w:fldCharType="begin"/>
            </w:r>
            <w:r w:rsidR="000654DA">
              <w:rPr>
                <w:noProof/>
                <w:webHidden/>
              </w:rPr>
              <w:instrText xml:space="preserve"> PAGEREF _Toc369859083 \h </w:instrText>
            </w:r>
            <w:r w:rsidR="000654DA">
              <w:rPr>
                <w:noProof/>
                <w:webHidden/>
              </w:rPr>
            </w:r>
            <w:r w:rsidR="000654DA">
              <w:rPr>
                <w:noProof/>
                <w:webHidden/>
              </w:rPr>
              <w:fldChar w:fldCharType="separate"/>
            </w:r>
            <w:r w:rsidR="000654DA">
              <w:rPr>
                <w:noProof/>
                <w:webHidden/>
              </w:rPr>
              <w:t>20</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84" w:history="1">
            <w:r w:rsidR="000654DA" w:rsidRPr="005A6E3E">
              <w:rPr>
                <w:rStyle w:val="Hyperlink"/>
                <w:noProof/>
              </w:rPr>
              <w:t>36.</w:t>
            </w:r>
            <w:r w:rsidR="000654DA">
              <w:rPr>
                <w:rFonts w:asciiTheme="minorHAnsi" w:eastAsiaTheme="minorEastAsia" w:hAnsiTheme="minorHAnsi"/>
                <w:noProof/>
                <w:sz w:val="22"/>
                <w:lang w:eastAsia="fr-FR"/>
              </w:rPr>
              <w:tab/>
            </w:r>
            <w:r w:rsidR="000654DA" w:rsidRPr="005A6E3E">
              <w:rPr>
                <w:rStyle w:val="Hyperlink"/>
                <w:noProof/>
              </w:rPr>
              <w:t>COORDONNÉES DES PERSONNES-RESSOURCES</w:t>
            </w:r>
            <w:r w:rsidR="000654DA">
              <w:rPr>
                <w:noProof/>
                <w:webHidden/>
              </w:rPr>
              <w:tab/>
            </w:r>
            <w:r w:rsidR="000654DA">
              <w:rPr>
                <w:noProof/>
                <w:webHidden/>
              </w:rPr>
              <w:fldChar w:fldCharType="begin"/>
            </w:r>
            <w:r w:rsidR="000654DA">
              <w:rPr>
                <w:noProof/>
                <w:webHidden/>
              </w:rPr>
              <w:instrText xml:space="preserve"> PAGEREF _Toc369859084 \h </w:instrText>
            </w:r>
            <w:r w:rsidR="000654DA">
              <w:rPr>
                <w:noProof/>
                <w:webHidden/>
              </w:rPr>
            </w:r>
            <w:r w:rsidR="000654DA">
              <w:rPr>
                <w:noProof/>
                <w:webHidden/>
              </w:rPr>
              <w:fldChar w:fldCharType="separate"/>
            </w:r>
            <w:r w:rsidR="000654DA">
              <w:rPr>
                <w:noProof/>
                <w:webHidden/>
              </w:rPr>
              <w:t>20</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85" w:history="1">
            <w:r w:rsidR="000654DA" w:rsidRPr="005A6E3E">
              <w:rPr>
                <w:rStyle w:val="Hyperlink"/>
                <w:noProof/>
              </w:rPr>
              <w:t>37.</w:t>
            </w:r>
            <w:r w:rsidR="000654DA">
              <w:rPr>
                <w:rFonts w:asciiTheme="minorHAnsi" w:eastAsiaTheme="minorEastAsia" w:hAnsiTheme="minorHAnsi"/>
                <w:noProof/>
                <w:sz w:val="22"/>
                <w:lang w:eastAsia="fr-FR"/>
              </w:rPr>
              <w:tab/>
            </w:r>
            <w:r w:rsidR="000654DA" w:rsidRPr="005A6E3E">
              <w:rPr>
                <w:rStyle w:val="Hyperlink"/>
                <w:noProof/>
              </w:rPr>
              <w:t>COORDONNÉES DU FOURNISSEUR</w:t>
            </w:r>
            <w:r w:rsidR="000654DA">
              <w:rPr>
                <w:noProof/>
                <w:webHidden/>
              </w:rPr>
              <w:tab/>
            </w:r>
            <w:r w:rsidR="000654DA">
              <w:rPr>
                <w:noProof/>
                <w:webHidden/>
              </w:rPr>
              <w:fldChar w:fldCharType="begin"/>
            </w:r>
            <w:r w:rsidR="000654DA">
              <w:rPr>
                <w:noProof/>
                <w:webHidden/>
              </w:rPr>
              <w:instrText xml:space="preserve"> PAGEREF _Toc369859085 \h </w:instrText>
            </w:r>
            <w:r w:rsidR="000654DA">
              <w:rPr>
                <w:noProof/>
                <w:webHidden/>
              </w:rPr>
            </w:r>
            <w:r w:rsidR="000654DA">
              <w:rPr>
                <w:noProof/>
                <w:webHidden/>
              </w:rPr>
              <w:fldChar w:fldCharType="separate"/>
            </w:r>
            <w:r w:rsidR="000654DA">
              <w:rPr>
                <w:noProof/>
                <w:webHidden/>
              </w:rPr>
              <w:t>21</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86" w:history="1">
            <w:r w:rsidR="000654DA" w:rsidRPr="005A6E3E">
              <w:rPr>
                <w:rStyle w:val="Hyperlink"/>
                <w:noProof/>
              </w:rPr>
              <w:t>38.</w:t>
            </w:r>
            <w:r w:rsidR="000654DA">
              <w:rPr>
                <w:rFonts w:asciiTheme="minorHAnsi" w:eastAsiaTheme="minorEastAsia" w:hAnsiTheme="minorHAnsi"/>
                <w:noProof/>
                <w:sz w:val="22"/>
                <w:lang w:eastAsia="fr-FR"/>
              </w:rPr>
              <w:tab/>
            </w:r>
            <w:r w:rsidR="000654DA" w:rsidRPr="005A6E3E">
              <w:rPr>
                <w:rStyle w:val="Hyperlink"/>
                <w:noProof/>
              </w:rPr>
              <w:t>ÉVALUATION DES PERFORMANCES DU FOURNISSEUR</w:t>
            </w:r>
            <w:r w:rsidR="000654DA">
              <w:rPr>
                <w:noProof/>
                <w:webHidden/>
              </w:rPr>
              <w:tab/>
            </w:r>
            <w:r w:rsidR="000654DA">
              <w:rPr>
                <w:noProof/>
                <w:webHidden/>
              </w:rPr>
              <w:fldChar w:fldCharType="begin"/>
            </w:r>
            <w:r w:rsidR="000654DA">
              <w:rPr>
                <w:noProof/>
                <w:webHidden/>
              </w:rPr>
              <w:instrText xml:space="preserve"> PAGEREF _Toc369859086 \h </w:instrText>
            </w:r>
            <w:r w:rsidR="000654DA">
              <w:rPr>
                <w:noProof/>
                <w:webHidden/>
              </w:rPr>
            </w:r>
            <w:r w:rsidR="000654DA">
              <w:rPr>
                <w:noProof/>
                <w:webHidden/>
              </w:rPr>
              <w:fldChar w:fldCharType="separate"/>
            </w:r>
            <w:r w:rsidR="000654DA">
              <w:rPr>
                <w:noProof/>
                <w:webHidden/>
              </w:rPr>
              <w:t>21</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87" w:history="1">
            <w:r w:rsidR="000654DA" w:rsidRPr="005A6E3E">
              <w:rPr>
                <w:rStyle w:val="Hyperlink"/>
                <w:noProof/>
              </w:rPr>
              <w:t>39.</w:t>
            </w:r>
            <w:r w:rsidR="000654DA">
              <w:rPr>
                <w:rFonts w:asciiTheme="minorHAnsi" w:eastAsiaTheme="minorEastAsia" w:hAnsiTheme="minorHAnsi"/>
                <w:noProof/>
                <w:sz w:val="22"/>
                <w:lang w:eastAsia="fr-FR"/>
              </w:rPr>
              <w:tab/>
            </w:r>
            <w:r w:rsidR="000654DA" w:rsidRPr="005A6E3E">
              <w:rPr>
                <w:rStyle w:val="Hyperlink"/>
                <w:noProof/>
              </w:rPr>
              <w:t>COMPORTEMENTS CONTRAIRES À L’ÉTHIQUE</w:t>
            </w:r>
            <w:r w:rsidR="000654DA">
              <w:rPr>
                <w:noProof/>
                <w:webHidden/>
              </w:rPr>
              <w:tab/>
            </w:r>
            <w:r w:rsidR="000654DA">
              <w:rPr>
                <w:noProof/>
                <w:webHidden/>
              </w:rPr>
              <w:fldChar w:fldCharType="begin"/>
            </w:r>
            <w:r w:rsidR="000654DA">
              <w:rPr>
                <w:noProof/>
                <w:webHidden/>
              </w:rPr>
              <w:instrText xml:space="preserve"> PAGEREF _Toc369859087 \h </w:instrText>
            </w:r>
            <w:r w:rsidR="000654DA">
              <w:rPr>
                <w:noProof/>
                <w:webHidden/>
              </w:rPr>
            </w:r>
            <w:r w:rsidR="000654DA">
              <w:rPr>
                <w:noProof/>
                <w:webHidden/>
              </w:rPr>
              <w:fldChar w:fldCharType="separate"/>
            </w:r>
            <w:r w:rsidR="000654DA">
              <w:rPr>
                <w:noProof/>
                <w:webHidden/>
              </w:rPr>
              <w:t>21</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88" w:history="1">
            <w:r w:rsidR="000654DA" w:rsidRPr="005A6E3E">
              <w:rPr>
                <w:rStyle w:val="Hyperlink"/>
                <w:noProof/>
              </w:rPr>
              <w:t>40.</w:t>
            </w:r>
            <w:r w:rsidR="000654DA">
              <w:rPr>
                <w:rFonts w:asciiTheme="minorHAnsi" w:eastAsiaTheme="minorEastAsia" w:hAnsiTheme="minorHAnsi"/>
                <w:noProof/>
                <w:sz w:val="22"/>
                <w:lang w:eastAsia="fr-FR"/>
              </w:rPr>
              <w:tab/>
            </w:r>
            <w:r w:rsidR="000654DA" w:rsidRPr="005A6E3E">
              <w:rPr>
                <w:rStyle w:val="Hyperlink"/>
                <w:noProof/>
              </w:rPr>
              <w:t>CORRUPTION ET PRATIQUES FRAUDULEUSES</w:t>
            </w:r>
            <w:r w:rsidR="000654DA">
              <w:rPr>
                <w:noProof/>
                <w:webHidden/>
              </w:rPr>
              <w:tab/>
            </w:r>
            <w:r w:rsidR="000654DA">
              <w:rPr>
                <w:noProof/>
                <w:webHidden/>
              </w:rPr>
              <w:fldChar w:fldCharType="begin"/>
            </w:r>
            <w:r w:rsidR="000654DA">
              <w:rPr>
                <w:noProof/>
                <w:webHidden/>
              </w:rPr>
              <w:instrText xml:space="preserve"> PAGEREF _Toc369859088 \h </w:instrText>
            </w:r>
            <w:r w:rsidR="000654DA">
              <w:rPr>
                <w:noProof/>
                <w:webHidden/>
              </w:rPr>
            </w:r>
            <w:r w:rsidR="000654DA">
              <w:rPr>
                <w:noProof/>
                <w:webHidden/>
              </w:rPr>
              <w:fldChar w:fldCharType="separate"/>
            </w:r>
            <w:r w:rsidR="000654DA">
              <w:rPr>
                <w:noProof/>
                <w:webHidden/>
              </w:rPr>
              <w:t>21</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89" w:history="1">
            <w:r w:rsidR="000654DA" w:rsidRPr="005A6E3E">
              <w:rPr>
                <w:rStyle w:val="Hyperlink"/>
                <w:noProof/>
              </w:rPr>
              <w:t>41.</w:t>
            </w:r>
            <w:r w:rsidR="000654DA">
              <w:rPr>
                <w:rFonts w:asciiTheme="minorHAnsi" w:eastAsiaTheme="minorEastAsia" w:hAnsiTheme="minorHAnsi"/>
                <w:noProof/>
                <w:sz w:val="22"/>
                <w:lang w:eastAsia="fr-FR"/>
              </w:rPr>
              <w:tab/>
            </w:r>
            <w:r w:rsidR="000654DA" w:rsidRPr="005A6E3E">
              <w:rPr>
                <w:rStyle w:val="Hyperlink"/>
                <w:noProof/>
              </w:rPr>
              <w:t>TRANPARENCE</w:t>
            </w:r>
            <w:r w:rsidR="000654DA">
              <w:rPr>
                <w:noProof/>
                <w:webHidden/>
              </w:rPr>
              <w:tab/>
            </w:r>
            <w:r w:rsidR="000654DA">
              <w:rPr>
                <w:noProof/>
                <w:webHidden/>
              </w:rPr>
              <w:fldChar w:fldCharType="begin"/>
            </w:r>
            <w:r w:rsidR="000654DA">
              <w:rPr>
                <w:noProof/>
                <w:webHidden/>
              </w:rPr>
              <w:instrText xml:space="preserve"> PAGEREF _Toc369859089 \h </w:instrText>
            </w:r>
            <w:r w:rsidR="000654DA">
              <w:rPr>
                <w:noProof/>
                <w:webHidden/>
              </w:rPr>
            </w:r>
            <w:r w:rsidR="000654DA">
              <w:rPr>
                <w:noProof/>
                <w:webHidden/>
              </w:rPr>
              <w:fldChar w:fldCharType="separate"/>
            </w:r>
            <w:r w:rsidR="000654DA">
              <w:rPr>
                <w:noProof/>
                <w:webHidden/>
              </w:rPr>
              <w:t>22</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90" w:history="1">
            <w:r w:rsidR="000654DA" w:rsidRPr="005A6E3E">
              <w:rPr>
                <w:rStyle w:val="Hyperlink"/>
                <w:noProof/>
              </w:rPr>
              <w:t>42.</w:t>
            </w:r>
            <w:r w:rsidR="000654DA">
              <w:rPr>
                <w:rFonts w:asciiTheme="minorHAnsi" w:eastAsiaTheme="minorEastAsia" w:hAnsiTheme="minorHAnsi"/>
                <w:noProof/>
                <w:sz w:val="22"/>
                <w:lang w:eastAsia="fr-FR"/>
              </w:rPr>
              <w:tab/>
            </w:r>
            <w:r w:rsidR="000654DA" w:rsidRPr="005A6E3E">
              <w:rPr>
                <w:rStyle w:val="Hyperlink"/>
                <w:noProof/>
              </w:rPr>
              <w:t>OBJECTIFS ENVIRONNEMENTAUX DE L’UNFPA</w:t>
            </w:r>
            <w:r w:rsidR="000654DA">
              <w:rPr>
                <w:noProof/>
                <w:webHidden/>
              </w:rPr>
              <w:tab/>
            </w:r>
            <w:r w:rsidR="000654DA">
              <w:rPr>
                <w:noProof/>
                <w:webHidden/>
              </w:rPr>
              <w:fldChar w:fldCharType="begin"/>
            </w:r>
            <w:r w:rsidR="000654DA">
              <w:rPr>
                <w:noProof/>
                <w:webHidden/>
              </w:rPr>
              <w:instrText xml:space="preserve"> PAGEREF _Toc369859090 \h </w:instrText>
            </w:r>
            <w:r w:rsidR="000654DA">
              <w:rPr>
                <w:noProof/>
                <w:webHidden/>
              </w:rPr>
            </w:r>
            <w:r w:rsidR="000654DA">
              <w:rPr>
                <w:noProof/>
                <w:webHidden/>
              </w:rPr>
              <w:fldChar w:fldCharType="separate"/>
            </w:r>
            <w:r w:rsidR="000654DA">
              <w:rPr>
                <w:noProof/>
                <w:webHidden/>
              </w:rPr>
              <w:t>22</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91" w:history="1">
            <w:r w:rsidR="000654DA" w:rsidRPr="005A6E3E">
              <w:rPr>
                <w:rStyle w:val="Hyperlink"/>
                <w:noProof/>
              </w:rPr>
              <w:t>43.</w:t>
            </w:r>
            <w:r w:rsidR="000654DA">
              <w:rPr>
                <w:rFonts w:asciiTheme="minorHAnsi" w:eastAsiaTheme="minorEastAsia" w:hAnsiTheme="minorHAnsi"/>
                <w:noProof/>
                <w:sz w:val="22"/>
                <w:lang w:eastAsia="fr-FR"/>
              </w:rPr>
              <w:tab/>
            </w:r>
            <w:r w:rsidR="000654DA" w:rsidRPr="005A6E3E">
              <w:rPr>
                <w:rStyle w:val="Hyperlink"/>
                <w:noProof/>
              </w:rPr>
              <w:t>POLITIQUE DE ZÉRO TOLÉRANCE CONCERNANT LES CADEAUX ET L’HOSPITALITÉ</w:t>
            </w:r>
            <w:r w:rsidR="000654DA">
              <w:rPr>
                <w:noProof/>
                <w:webHidden/>
              </w:rPr>
              <w:tab/>
            </w:r>
            <w:r w:rsidR="000654DA">
              <w:rPr>
                <w:noProof/>
                <w:webHidden/>
              </w:rPr>
              <w:fldChar w:fldCharType="begin"/>
            </w:r>
            <w:r w:rsidR="000654DA">
              <w:rPr>
                <w:noProof/>
                <w:webHidden/>
              </w:rPr>
              <w:instrText xml:space="preserve"> PAGEREF _Toc369859091 \h </w:instrText>
            </w:r>
            <w:r w:rsidR="000654DA">
              <w:rPr>
                <w:noProof/>
                <w:webHidden/>
              </w:rPr>
            </w:r>
            <w:r w:rsidR="000654DA">
              <w:rPr>
                <w:noProof/>
                <w:webHidden/>
              </w:rPr>
              <w:fldChar w:fldCharType="separate"/>
            </w:r>
            <w:r w:rsidR="000654DA">
              <w:rPr>
                <w:noProof/>
                <w:webHidden/>
              </w:rPr>
              <w:t>22</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92" w:history="1">
            <w:r w:rsidR="000654DA" w:rsidRPr="005A6E3E">
              <w:rPr>
                <w:rStyle w:val="Hyperlink"/>
                <w:noProof/>
              </w:rPr>
              <w:t>44.</w:t>
            </w:r>
            <w:r w:rsidR="000654DA">
              <w:rPr>
                <w:rFonts w:asciiTheme="minorHAnsi" w:eastAsiaTheme="minorEastAsia" w:hAnsiTheme="minorHAnsi"/>
                <w:noProof/>
                <w:sz w:val="22"/>
                <w:lang w:eastAsia="fr-FR"/>
              </w:rPr>
              <w:tab/>
            </w:r>
            <w:r w:rsidR="000654DA" w:rsidRPr="005A6E3E">
              <w:rPr>
                <w:rStyle w:val="Hyperlink"/>
                <w:noProof/>
              </w:rPr>
              <w:t>ÉLIGIBILITÉ DU VENDEUR</w:t>
            </w:r>
            <w:r w:rsidR="000654DA">
              <w:rPr>
                <w:noProof/>
                <w:webHidden/>
              </w:rPr>
              <w:tab/>
            </w:r>
            <w:r w:rsidR="000654DA">
              <w:rPr>
                <w:noProof/>
                <w:webHidden/>
              </w:rPr>
              <w:fldChar w:fldCharType="begin"/>
            </w:r>
            <w:r w:rsidR="000654DA">
              <w:rPr>
                <w:noProof/>
                <w:webHidden/>
              </w:rPr>
              <w:instrText xml:space="preserve"> PAGEREF _Toc369859092 \h </w:instrText>
            </w:r>
            <w:r w:rsidR="000654DA">
              <w:rPr>
                <w:noProof/>
                <w:webHidden/>
              </w:rPr>
            </w:r>
            <w:r w:rsidR="000654DA">
              <w:rPr>
                <w:noProof/>
                <w:webHidden/>
              </w:rPr>
              <w:fldChar w:fldCharType="separate"/>
            </w:r>
            <w:r w:rsidR="000654DA">
              <w:rPr>
                <w:noProof/>
                <w:webHidden/>
              </w:rPr>
              <w:t>22</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93" w:history="1">
            <w:r w:rsidR="000654DA" w:rsidRPr="005A6E3E">
              <w:rPr>
                <w:rStyle w:val="Hyperlink"/>
                <w:noProof/>
              </w:rPr>
              <w:t>45.</w:t>
            </w:r>
            <w:r w:rsidR="000654DA">
              <w:rPr>
                <w:rFonts w:asciiTheme="minorHAnsi" w:eastAsiaTheme="minorEastAsia" w:hAnsiTheme="minorHAnsi"/>
                <w:noProof/>
                <w:sz w:val="22"/>
                <w:lang w:eastAsia="fr-FR"/>
              </w:rPr>
              <w:tab/>
            </w:r>
            <w:r w:rsidR="000654DA" w:rsidRPr="005A6E3E">
              <w:rPr>
                <w:rStyle w:val="Hyperlink"/>
                <w:noProof/>
              </w:rPr>
              <w:t>CONTESTATION DE L’APPEL D’OFFRES</w:t>
            </w:r>
            <w:r w:rsidR="000654DA">
              <w:rPr>
                <w:noProof/>
                <w:webHidden/>
              </w:rPr>
              <w:tab/>
            </w:r>
            <w:r w:rsidR="000654DA">
              <w:rPr>
                <w:noProof/>
                <w:webHidden/>
              </w:rPr>
              <w:fldChar w:fldCharType="begin"/>
            </w:r>
            <w:r w:rsidR="000654DA">
              <w:rPr>
                <w:noProof/>
                <w:webHidden/>
              </w:rPr>
              <w:instrText xml:space="preserve"> PAGEREF _Toc369859093 \h </w:instrText>
            </w:r>
            <w:r w:rsidR="000654DA">
              <w:rPr>
                <w:noProof/>
                <w:webHidden/>
              </w:rPr>
            </w:r>
            <w:r w:rsidR="000654DA">
              <w:rPr>
                <w:noProof/>
                <w:webHidden/>
              </w:rPr>
              <w:fldChar w:fldCharType="separate"/>
            </w:r>
            <w:r w:rsidR="000654DA">
              <w:rPr>
                <w:noProof/>
                <w:webHidden/>
              </w:rPr>
              <w:t>23</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94" w:history="1">
            <w:r w:rsidR="000654DA" w:rsidRPr="005A6E3E">
              <w:rPr>
                <w:rStyle w:val="Hyperlink"/>
                <w:noProof/>
              </w:rPr>
              <w:t>46.</w:t>
            </w:r>
            <w:r w:rsidR="000654DA">
              <w:rPr>
                <w:rFonts w:asciiTheme="minorHAnsi" w:eastAsiaTheme="minorEastAsia" w:hAnsiTheme="minorHAnsi"/>
                <w:noProof/>
                <w:sz w:val="22"/>
                <w:lang w:eastAsia="fr-FR"/>
              </w:rPr>
              <w:tab/>
            </w:r>
            <w:r w:rsidR="000654DA" w:rsidRPr="005A6E3E">
              <w:rPr>
                <w:rStyle w:val="Hyperlink"/>
                <w:noProof/>
              </w:rPr>
              <w:t>ÉCHANGE DE L’ACCORD ENTRE AGENCES DE L’ONU</w:t>
            </w:r>
            <w:r w:rsidR="000654DA">
              <w:rPr>
                <w:noProof/>
                <w:webHidden/>
              </w:rPr>
              <w:tab/>
            </w:r>
            <w:r w:rsidR="000654DA">
              <w:rPr>
                <w:noProof/>
                <w:webHidden/>
              </w:rPr>
              <w:fldChar w:fldCharType="begin"/>
            </w:r>
            <w:r w:rsidR="000654DA">
              <w:rPr>
                <w:noProof/>
                <w:webHidden/>
              </w:rPr>
              <w:instrText xml:space="preserve"> PAGEREF _Toc369859094 \h </w:instrText>
            </w:r>
            <w:r w:rsidR="000654DA">
              <w:rPr>
                <w:noProof/>
                <w:webHidden/>
              </w:rPr>
            </w:r>
            <w:r w:rsidR="000654DA">
              <w:rPr>
                <w:noProof/>
                <w:webHidden/>
              </w:rPr>
              <w:fldChar w:fldCharType="separate"/>
            </w:r>
            <w:r w:rsidR="000654DA">
              <w:rPr>
                <w:noProof/>
                <w:webHidden/>
              </w:rPr>
              <w:t>23</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95" w:history="1">
            <w:r w:rsidR="000654DA" w:rsidRPr="005A6E3E">
              <w:rPr>
                <w:rStyle w:val="Hyperlink"/>
                <w:noProof/>
              </w:rPr>
              <w:t>47.</w:t>
            </w:r>
            <w:r w:rsidR="000654DA">
              <w:rPr>
                <w:rFonts w:asciiTheme="minorHAnsi" w:eastAsiaTheme="minorEastAsia" w:hAnsiTheme="minorHAnsi"/>
                <w:noProof/>
                <w:sz w:val="22"/>
                <w:lang w:eastAsia="fr-FR"/>
              </w:rPr>
              <w:tab/>
            </w:r>
            <w:r w:rsidR="000654DA" w:rsidRPr="005A6E3E">
              <w:rPr>
                <w:rStyle w:val="Hyperlink"/>
                <w:noProof/>
              </w:rPr>
              <w:t>PUBLICATION DES INFORMATIONS D’ATTRIBUTION DU BON DE COMMANDE</w:t>
            </w:r>
            <w:r w:rsidR="000654DA">
              <w:rPr>
                <w:noProof/>
                <w:webHidden/>
              </w:rPr>
              <w:tab/>
            </w:r>
            <w:r w:rsidR="000654DA">
              <w:rPr>
                <w:noProof/>
                <w:webHidden/>
              </w:rPr>
              <w:fldChar w:fldCharType="begin"/>
            </w:r>
            <w:r w:rsidR="000654DA">
              <w:rPr>
                <w:noProof/>
                <w:webHidden/>
              </w:rPr>
              <w:instrText xml:space="preserve"> PAGEREF _Toc369859095 \h </w:instrText>
            </w:r>
            <w:r w:rsidR="000654DA">
              <w:rPr>
                <w:noProof/>
                <w:webHidden/>
              </w:rPr>
            </w:r>
            <w:r w:rsidR="000654DA">
              <w:rPr>
                <w:noProof/>
                <w:webHidden/>
              </w:rPr>
              <w:fldChar w:fldCharType="separate"/>
            </w:r>
            <w:r w:rsidR="000654DA">
              <w:rPr>
                <w:noProof/>
                <w:webHidden/>
              </w:rPr>
              <w:t>23</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96" w:history="1">
            <w:r w:rsidR="000654DA" w:rsidRPr="005A6E3E">
              <w:rPr>
                <w:rStyle w:val="Hyperlink"/>
                <w:noProof/>
              </w:rPr>
              <w:t>48.</w:t>
            </w:r>
            <w:r w:rsidR="000654DA">
              <w:rPr>
                <w:rFonts w:asciiTheme="minorHAnsi" w:eastAsiaTheme="minorEastAsia" w:hAnsiTheme="minorHAnsi"/>
                <w:noProof/>
                <w:sz w:val="22"/>
                <w:lang w:eastAsia="fr-FR"/>
              </w:rPr>
              <w:tab/>
            </w:r>
            <w:r w:rsidR="000654DA" w:rsidRPr="005A6E3E">
              <w:rPr>
                <w:rStyle w:val="Hyperlink"/>
                <w:noProof/>
              </w:rPr>
              <w:t>ASSURANCE</w:t>
            </w:r>
            <w:r w:rsidR="000654DA">
              <w:rPr>
                <w:noProof/>
                <w:webHidden/>
              </w:rPr>
              <w:tab/>
            </w:r>
            <w:r w:rsidR="000654DA">
              <w:rPr>
                <w:noProof/>
                <w:webHidden/>
              </w:rPr>
              <w:fldChar w:fldCharType="begin"/>
            </w:r>
            <w:r w:rsidR="000654DA">
              <w:rPr>
                <w:noProof/>
                <w:webHidden/>
              </w:rPr>
              <w:instrText xml:space="preserve"> PAGEREF _Toc369859096 \h </w:instrText>
            </w:r>
            <w:r w:rsidR="000654DA">
              <w:rPr>
                <w:noProof/>
                <w:webHidden/>
              </w:rPr>
            </w:r>
            <w:r w:rsidR="000654DA">
              <w:rPr>
                <w:noProof/>
                <w:webHidden/>
              </w:rPr>
              <w:fldChar w:fldCharType="separate"/>
            </w:r>
            <w:r w:rsidR="000654DA">
              <w:rPr>
                <w:noProof/>
                <w:webHidden/>
              </w:rPr>
              <w:t>24</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97" w:history="1">
            <w:r w:rsidR="000654DA" w:rsidRPr="005A6E3E">
              <w:rPr>
                <w:rStyle w:val="Hyperlink"/>
                <w:noProof/>
              </w:rPr>
              <w:t>49.</w:t>
            </w:r>
            <w:r w:rsidR="000654DA">
              <w:rPr>
                <w:rFonts w:asciiTheme="minorHAnsi" w:eastAsiaTheme="minorEastAsia" w:hAnsiTheme="minorHAnsi"/>
                <w:noProof/>
                <w:sz w:val="22"/>
                <w:lang w:eastAsia="fr-FR"/>
              </w:rPr>
              <w:tab/>
            </w:r>
            <w:r w:rsidR="000654DA" w:rsidRPr="005A6E3E">
              <w:rPr>
                <w:rStyle w:val="Hyperlink"/>
                <w:noProof/>
              </w:rPr>
              <w:t>COUVERTURE DE L’APPROVISIONNEMENT</w:t>
            </w:r>
            <w:r w:rsidR="000654DA">
              <w:rPr>
                <w:noProof/>
                <w:webHidden/>
              </w:rPr>
              <w:tab/>
            </w:r>
            <w:r w:rsidR="000654DA">
              <w:rPr>
                <w:noProof/>
                <w:webHidden/>
              </w:rPr>
              <w:fldChar w:fldCharType="begin"/>
            </w:r>
            <w:r w:rsidR="000654DA">
              <w:rPr>
                <w:noProof/>
                <w:webHidden/>
              </w:rPr>
              <w:instrText xml:space="preserve"> PAGEREF _Toc369859097 \h </w:instrText>
            </w:r>
            <w:r w:rsidR="000654DA">
              <w:rPr>
                <w:noProof/>
                <w:webHidden/>
              </w:rPr>
            </w:r>
            <w:r w:rsidR="000654DA">
              <w:rPr>
                <w:noProof/>
                <w:webHidden/>
              </w:rPr>
              <w:fldChar w:fldCharType="separate"/>
            </w:r>
            <w:r w:rsidR="000654DA">
              <w:rPr>
                <w:noProof/>
                <w:webHidden/>
              </w:rPr>
              <w:t>24</w:t>
            </w:r>
            <w:r w:rsidR="000654DA">
              <w:rPr>
                <w:noProof/>
                <w:webHidden/>
              </w:rPr>
              <w:fldChar w:fldCharType="end"/>
            </w:r>
          </w:hyperlink>
        </w:p>
        <w:p w:rsidR="000654DA" w:rsidRDefault="004003AB">
          <w:pPr>
            <w:pStyle w:val="TOC1"/>
            <w:tabs>
              <w:tab w:val="left" w:pos="660"/>
              <w:tab w:val="right" w:leader="dot" w:pos="9016"/>
            </w:tabs>
            <w:rPr>
              <w:rFonts w:asciiTheme="minorHAnsi" w:eastAsiaTheme="minorEastAsia" w:hAnsiTheme="minorHAnsi"/>
              <w:noProof/>
              <w:sz w:val="22"/>
              <w:lang w:eastAsia="fr-FR"/>
            </w:rPr>
          </w:pPr>
          <w:hyperlink w:anchor="_Toc369859098" w:history="1">
            <w:r w:rsidR="000654DA" w:rsidRPr="005A6E3E">
              <w:rPr>
                <w:rStyle w:val="Hyperlink"/>
                <w:noProof/>
              </w:rPr>
              <w:t>50.</w:t>
            </w:r>
            <w:r w:rsidR="000654DA">
              <w:rPr>
                <w:rFonts w:asciiTheme="minorHAnsi" w:eastAsiaTheme="minorEastAsia" w:hAnsiTheme="minorHAnsi"/>
                <w:noProof/>
                <w:sz w:val="22"/>
                <w:lang w:eastAsia="fr-FR"/>
              </w:rPr>
              <w:tab/>
            </w:r>
            <w:r w:rsidR="000654DA" w:rsidRPr="005A6E3E">
              <w:rPr>
                <w:rStyle w:val="Hyperlink"/>
                <w:noProof/>
              </w:rPr>
              <w:t>EMBARGO ET TRANSACTIONS ÉCONOMIQUES ET COMMERCIALES INTERDITES</w:t>
            </w:r>
            <w:r w:rsidR="000654DA">
              <w:rPr>
                <w:noProof/>
                <w:webHidden/>
              </w:rPr>
              <w:tab/>
            </w:r>
            <w:r w:rsidR="000654DA">
              <w:rPr>
                <w:noProof/>
                <w:webHidden/>
              </w:rPr>
              <w:fldChar w:fldCharType="begin"/>
            </w:r>
            <w:r w:rsidR="000654DA">
              <w:rPr>
                <w:noProof/>
                <w:webHidden/>
              </w:rPr>
              <w:instrText xml:space="preserve"> PAGEREF _Toc369859098 \h </w:instrText>
            </w:r>
            <w:r w:rsidR="000654DA">
              <w:rPr>
                <w:noProof/>
                <w:webHidden/>
              </w:rPr>
            </w:r>
            <w:r w:rsidR="000654DA">
              <w:rPr>
                <w:noProof/>
                <w:webHidden/>
              </w:rPr>
              <w:fldChar w:fldCharType="separate"/>
            </w:r>
            <w:r w:rsidR="000654DA">
              <w:rPr>
                <w:noProof/>
                <w:webHidden/>
              </w:rPr>
              <w:t>24</w:t>
            </w:r>
            <w:r w:rsidR="000654DA">
              <w:rPr>
                <w:noProof/>
                <w:webHidden/>
              </w:rPr>
              <w:fldChar w:fldCharType="end"/>
            </w:r>
          </w:hyperlink>
        </w:p>
        <w:p w:rsidR="000654DA" w:rsidRDefault="004003AB">
          <w:pPr>
            <w:pStyle w:val="TOC1"/>
            <w:tabs>
              <w:tab w:val="right" w:leader="dot" w:pos="9016"/>
            </w:tabs>
            <w:rPr>
              <w:rFonts w:asciiTheme="minorHAnsi" w:eastAsiaTheme="minorEastAsia" w:hAnsiTheme="minorHAnsi"/>
              <w:noProof/>
              <w:sz w:val="22"/>
              <w:lang w:eastAsia="fr-FR"/>
            </w:rPr>
          </w:pPr>
          <w:hyperlink w:anchor="_Toc369859099" w:history="1">
            <w:r w:rsidR="000654DA" w:rsidRPr="005A6E3E">
              <w:rPr>
                <w:rStyle w:val="Hyperlink"/>
                <w:noProof/>
              </w:rPr>
              <w:t>51. INDEMNITÉS PRÉDETERMINÉES</w:t>
            </w:r>
            <w:r w:rsidR="000654DA">
              <w:rPr>
                <w:noProof/>
                <w:webHidden/>
              </w:rPr>
              <w:tab/>
            </w:r>
            <w:r w:rsidR="000654DA">
              <w:rPr>
                <w:noProof/>
                <w:webHidden/>
              </w:rPr>
              <w:fldChar w:fldCharType="begin"/>
            </w:r>
            <w:r w:rsidR="000654DA">
              <w:rPr>
                <w:noProof/>
                <w:webHidden/>
              </w:rPr>
              <w:instrText xml:space="preserve"> PAGEREF _Toc369859099 \h </w:instrText>
            </w:r>
            <w:r w:rsidR="000654DA">
              <w:rPr>
                <w:noProof/>
                <w:webHidden/>
              </w:rPr>
            </w:r>
            <w:r w:rsidR="000654DA">
              <w:rPr>
                <w:noProof/>
                <w:webHidden/>
              </w:rPr>
              <w:fldChar w:fldCharType="separate"/>
            </w:r>
            <w:r w:rsidR="000654DA">
              <w:rPr>
                <w:noProof/>
                <w:webHidden/>
              </w:rPr>
              <w:t>24</w:t>
            </w:r>
            <w:r w:rsidR="000654DA">
              <w:rPr>
                <w:noProof/>
                <w:webHidden/>
              </w:rPr>
              <w:fldChar w:fldCharType="end"/>
            </w:r>
          </w:hyperlink>
        </w:p>
        <w:p w:rsidR="000654DA" w:rsidRDefault="004003AB">
          <w:pPr>
            <w:pStyle w:val="TOC1"/>
            <w:tabs>
              <w:tab w:val="right" w:leader="dot" w:pos="9016"/>
            </w:tabs>
            <w:rPr>
              <w:rFonts w:asciiTheme="minorHAnsi" w:eastAsiaTheme="minorEastAsia" w:hAnsiTheme="minorHAnsi"/>
              <w:noProof/>
              <w:sz w:val="22"/>
              <w:lang w:eastAsia="fr-FR"/>
            </w:rPr>
          </w:pPr>
          <w:hyperlink w:anchor="_Toc369859100" w:history="1">
            <w:r w:rsidR="000654DA" w:rsidRPr="005A6E3E">
              <w:rPr>
                <w:rStyle w:val="Hyperlink"/>
                <w:rFonts w:eastAsia="Times New Roman"/>
                <w:noProof/>
                <w:lang w:eastAsia="en-GB"/>
              </w:rPr>
              <w:t>ANNEXE 1 : CONDITIONS GÉNÉRALES DE L’UNFPA APPLICABLES AUX CONTRATS RELATIFS À LA FOURNITURE DE BIENS ET DE SERVICES</w:t>
            </w:r>
            <w:r w:rsidR="000654DA">
              <w:rPr>
                <w:noProof/>
                <w:webHidden/>
              </w:rPr>
              <w:tab/>
            </w:r>
            <w:r w:rsidR="000654DA">
              <w:rPr>
                <w:noProof/>
                <w:webHidden/>
              </w:rPr>
              <w:fldChar w:fldCharType="begin"/>
            </w:r>
            <w:r w:rsidR="000654DA">
              <w:rPr>
                <w:noProof/>
                <w:webHidden/>
              </w:rPr>
              <w:instrText xml:space="preserve"> PAGEREF _Toc369859100 \h </w:instrText>
            </w:r>
            <w:r w:rsidR="000654DA">
              <w:rPr>
                <w:noProof/>
                <w:webHidden/>
              </w:rPr>
            </w:r>
            <w:r w:rsidR="000654DA">
              <w:rPr>
                <w:noProof/>
                <w:webHidden/>
              </w:rPr>
              <w:fldChar w:fldCharType="separate"/>
            </w:r>
            <w:r w:rsidR="000654DA">
              <w:rPr>
                <w:noProof/>
                <w:webHidden/>
              </w:rPr>
              <w:t>25</w:t>
            </w:r>
            <w:r w:rsidR="000654DA">
              <w:rPr>
                <w:noProof/>
                <w:webHidden/>
              </w:rPr>
              <w:fldChar w:fldCharType="end"/>
            </w:r>
          </w:hyperlink>
        </w:p>
        <w:p w:rsidR="000654DA" w:rsidRDefault="004003AB">
          <w:pPr>
            <w:pStyle w:val="TOC1"/>
            <w:tabs>
              <w:tab w:val="right" w:leader="dot" w:pos="9016"/>
            </w:tabs>
            <w:rPr>
              <w:rFonts w:asciiTheme="minorHAnsi" w:eastAsiaTheme="minorEastAsia" w:hAnsiTheme="minorHAnsi"/>
              <w:noProof/>
              <w:sz w:val="22"/>
              <w:lang w:eastAsia="fr-FR"/>
            </w:rPr>
          </w:pPr>
          <w:hyperlink w:anchor="_Toc369859101" w:history="1">
            <w:r w:rsidR="000654DA" w:rsidRPr="005A6E3E">
              <w:rPr>
                <w:rStyle w:val="Hyperlink"/>
                <w:noProof/>
                <w:lang w:eastAsia="en-GB"/>
              </w:rPr>
              <w:t>ANNEXE 2 : TERMES DE RÉFÉRENCE (TOR)</w:t>
            </w:r>
            <w:r w:rsidR="000654DA">
              <w:rPr>
                <w:noProof/>
                <w:webHidden/>
              </w:rPr>
              <w:tab/>
            </w:r>
            <w:r w:rsidR="000654DA">
              <w:rPr>
                <w:noProof/>
                <w:webHidden/>
              </w:rPr>
              <w:fldChar w:fldCharType="begin"/>
            </w:r>
            <w:r w:rsidR="000654DA">
              <w:rPr>
                <w:noProof/>
                <w:webHidden/>
              </w:rPr>
              <w:instrText xml:space="preserve"> PAGEREF _Toc369859101 \h </w:instrText>
            </w:r>
            <w:r w:rsidR="000654DA">
              <w:rPr>
                <w:noProof/>
                <w:webHidden/>
              </w:rPr>
            </w:r>
            <w:r w:rsidR="000654DA">
              <w:rPr>
                <w:noProof/>
                <w:webHidden/>
              </w:rPr>
              <w:fldChar w:fldCharType="separate"/>
            </w:r>
            <w:r w:rsidR="000654DA">
              <w:rPr>
                <w:noProof/>
                <w:webHidden/>
              </w:rPr>
              <w:t>25</w:t>
            </w:r>
            <w:r w:rsidR="000654DA">
              <w:rPr>
                <w:noProof/>
                <w:webHidden/>
              </w:rPr>
              <w:fldChar w:fldCharType="end"/>
            </w:r>
          </w:hyperlink>
        </w:p>
        <w:p w:rsidR="00320D13" w:rsidRPr="00320D13" w:rsidRDefault="00320D13">
          <w:pPr>
            <w:rPr>
              <w:lang w:val="en-GB"/>
            </w:rPr>
          </w:pPr>
          <w:r>
            <w:rPr>
              <w:b/>
              <w:bCs/>
              <w:noProof/>
            </w:rPr>
            <w:fldChar w:fldCharType="end"/>
          </w:r>
        </w:p>
      </w:sdtContent>
    </w:sdt>
    <w:p w:rsidR="00320D13" w:rsidRDefault="00320D13">
      <w:pPr>
        <w:spacing w:after="200"/>
        <w:rPr>
          <w:b/>
          <w:lang w:val="en-GB"/>
        </w:rPr>
      </w:pPr>
      <w:r>
        <w:rPr>
          <w:b/>
          <w:lang w:val="en-GB"/>
        </w:rPr>
        <w:br w:type="page"/>
      </w:r>
    </w:p>
    <w:p w:rsidR="004B476F" w:rsidRDefault="004B476F" w:rsidP="009527DF">
      <w:pPr>
        <w:pStyle w:val="Heading1"/>
        <w:rPr>
          <w:highlight w:val="yellow"/>
        </w:rPr>
        <w:sectPr w:rsidR="004B476F" w:rsidSect="004B476F">
          <w:footerReference w:type="default" r:id="rId10"/>
          <w:pgSz w:w="11906" w:h="16838"/>
          <w:pgMar w:top="1440" w:right="1440" w:bottom="1440" w:left="1440" w:header="708" w:footer="708" w:gutter="0"/>
          <w:cols w:space="708"/>
          <w:docGrid w:linePitch="360"/>
        </w:sectPr>
      </w:pPr>
    </w:p>
    <w:tbl>
      <w:tblPr>
        <w:tblpPr w:leftFromText="180" w:rightFromText="180" w:vertAnchor="page" w:horzAnchor="margin" w:tblpY="1921"/>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4078"/>
      </w:tblGrid>
      <w:tr w:rsidR="00845E61" w:rsidRPr="004B476F" w:rsidTr="00845E61">
        <w:trPr>
          <w:trHeight w:val="286"/>
        </w:trPr>
        <w:tc>
          <w:tcPr>
            <w:tcW w:w="14078" w:type="dxa"/>
            <w:tcBorders>
              <w:bottom w:val="single" w:sz="4" w:space="0" w:color="auto"/>
            </w:tcBorders>
            <w:shd w:val="clear" w:color="auto" w:fill="C0C0C0"/>
          </w:tcPr>
          <w:p w:rsidR="00845E61" w:rsidRPr="004B476F" w:rsidRDefault="00845E61" w:rsidP="00845E61">
            <w:pPr>
              <w:pStyle w:val="BodyText"/>
              <w:jc w:val="center"/>
              <w:rPr>
                <w:rFonts w:ascii="Century Gothic" w:hAnsi="Century Gothic"/>
                <w:b/>
                <w:sz w:val="20"/>
                <w:lang w:val="fr-FR"/>
              </w:rPr>
            </w:pPr>
            <w:r w:rsidRPr="004B476F">
              <w:rPr>
                <w:rFonts w:ascii="Century Gothic" w:hAnsi="Century Gothic"/>
                <w:b/>
                <w:sz w:val="20"/>
                <w:lang w:val="fr-FR"/>
              </w:rPr>
              <w:lastRenderedPageBreak/>
              <w:t>Accor</w:t>
            </w:r>
            <w:r>
              <w:rPr>
                <w:rFonts w:ascii="Century Gothic" w:hAnsi="Century Gothic"/>
                <w:b/>
                <w:sz w:val="20"/>
                <w:lang w:val="fr-FR"/>
              </w:rPr>
              <w:t>d</w:t>
            </w:r>
            <w:r w:rsidRPr="004B476F">
              <w:rPr>
                <w:rFonts w:ascii="Century Gothic" w:hAnsi="Century Gothic"/>
                <w:b/>
                <w:sz w:val="20"/>
                <w:lang w:val="fr-FR"/>
              </w:rPr>
              <w:t xml:space="preserve"> à Long-terme No. </w:t>
            </w:r>
            <w:r w:rsidRPr="004B476F">
              <w:rPr>
                <w:rFonts w:ascii="Century Gothic" w:hAnsi="Century Gothic"/>
                <w:b/>
                <w:i/>
                <w:sz w:val="20"/>
                <w:highlight w:val="yellow"/>
                <w:lang w:val="fr-FR"/>
              </w:rPr>
              <w:t>ANNÉE/No. – NOM DU VENDEUR</w:t>
            </w:r>
          </w:p>
        </w:tc>
      </w:tr>
      <w:tr w:rsidR="00845E61" w:rsidRPr="00355A03" w:rsidTr="00845E61">
        <w:trPr>
          <w:trHeight w:val="1220"/>
        </w:trPr>
        <w:tc>
          <w:tcPr>
            <w:tcW w:w="14078" w:type="dxa"/>
            <w:tcBorders>
              <w:bottom w:val="single" w:sz="4" w:space="0" w:color="auto"/>
            </w:tcBorders>
          </w:tcPr>
          <w:p w:rsidR="00845E61" w:rsidRPr="004B476F" w:rsidRDefault="00845E61" w:rsidP="00845E61">
            <w:pPr>
              <w:pStyle w:val="BodyText"/>
              <w:rPr>
                <w:rFonts w:ascii="Century Gothic" w:hAnsi="Century Gothic"/>
                <w:sz w:val="20"/>
                <w:lang w:val="fr-FR"/>
              </w:rPr>
            </w:pPr>
          </w:p>
          <w:p w:rsidR="00845E61" w:rsidRPr="00355A03" w:rsidRDefault="00845E61" w:rsidP="00845E61">
            <w:pPr>
              <w:pStyle w:val="BodyText"/>
              <w:rPr>
                <w:rFonts w:ascii="Century Gothic" w:hAnsi="Century Gothic"/>
                <w:sz w:val="20"/>
                <w:lang w:val="fr-FR"/>
              </w:rPr>
            </w:pPr>
            <w:r w:rsidRPr="00355A03">
              <w:rPr>
                <w:rFonts w:ascii="Century Gothic" w:hAnsi="Century Gothic"/>
                <w:sz w:val="20"/>
                <w:lang w:val="fr-FR"/>
              </w:rPr>
              <w:t>Validité</w:t>
            </w:r>
            <w:r w:rsidR="00D75F40" w:rsidRPr="00355A03">
              <w:rPr>
                <w:rFonts w:ascii="Century Gothic" w:hAnsi="Century Gothic"/>
                <w:sz w:val="20"/>
                <w:lang w:val="fr-FR"/>
              </w:rPr>
              <w:tab/>
            </w:r>
            <w:r w:rsidR="00D75F40" w:rsidRPr="00355A03">
              <w:rPr>
                <w:rFonts w:ascii="Century Gothic" w:hAnsi="Century Gothic"/>
                <w:sz w:val="20"/>
                <w:lang w:val="fr-FR"/>
              </w:rPr>
              <w:tab/>
            </w:r>
            <w:r w:rsidR="00D75F40" w:rsidRPr="00355A03">
              <w:rPr>
                <w:rFonts w:ascii="Century Gothic" w:hAnsi="Century Gothic"/>
                <w:sz w:val="20"/>
                <w:lang w:val="fr-FR"/>
              </w:rPr>
              <w:tab/>
            </w:r>
            <w:r w:rsidR="00D75F40" w:rsidRPr="00355A03">
              <w:rPr>
                <w:rFonts w:ascii="Century Gothic" w:hAnsi="Century Gothic"/>
                <w:sz w:val="20"/>
                <w:lang w:val="fr-FR"/>
              </w:rPr>
              <w:tab/>
            </w:r>
            <w:r w:rsidRPr="00355A03">
              <w:rPr>
                <w:rFonts w:ascii="Century Gothic" w:hAnsi="Century Gothic"/>
                <w:sz w:val="20"/>
                <w:lang w:val="fr-FR"/>
              </w:rPr>
              <w:t xml:space="preserve">: </w:t>
            </w:r>
            <w:r w:rsidRPr="00355A03">
              <w:rPr>
                <w:rFonts w:ascii="Century Gothic" w:hAnsi="Century Gothic"/>
                <w:b/>
                <w:bCs/>
                <w:sz w:val="20"/>
                <w:lang w:val="fr-FR"/>
              </w:rPr>
              <w:t xml:space="preserve"> </w:t>
            </w:r>
            <w:bookmarkStart w:id="1" w:name="OLE_LINK5"/>
            <w:r w:rsidRPr="00355A03">
              <w:rPr>
                <w:rFonts w:ascii="Century Gothic" w:hAnsi="Century Gothic"/>
                <w:bCs/>
                <w:i/>
                <w:sz w:val="20"/>
                <w:lang w:val="fr-FR"/>
              </w:rPr>
              <w:t xml:space="preserve">Du </w:t>
            </w:r>
            <w:bookmarkEnd w:id="1"/>
            <w:r w:rsidRPr="00355A03">
              <w:rPr>
                <w:rFonts w:ascii="Century Gothic" w:hAnsi="Century Gothic"/>
                <w:bCs/>
                <w:i/>
                <w:sz w:val="20"/>
                <w:highlight w:val="yellow"/>
                <w:lang w:val="fr-FR"/>
              </w:rPr>
              <w:t xml:space="preserve">JJ/MM/AAAA </w:t>
            </w:r>
            <w:r>
              <w:rPr>
                <w:rFonts w:ascii="Century Gothic" w:hAnsi="Century Gothic"/>
                <w:bCs/>
                <w:i/>
                <w:sz w:val="20"/>
                <w:lang w:val="fr-FR"/>
              </w:rPr>
              <w:t>au</w:t>
            </w:r>
            <w:r w:rsidRPr="00355A03">
              <w:rPr>
                <w:rFonts w:ascii="Century Gothic" w:hAnsi="Century Gothic"/>
                <w:bCs/>
                <w:i/>
                <w:sz w:val="20"/>
                <w:lang w:val="fr-FR"/>
              </w:rPr>
              <w:t xml:space="preserve"> </w:t>
            </w:r>
            <w:r w:rsidRPr="00355A03">
              <w:rPr>
                <w:rFonts w:ascii="Century Gothic" w:hAnsi="Century Gothic"/>
                <w:bCs/>
                <w:i/>
                <w:sz w:val="20"/>
                <w:highlight w:val="yellow"/>
                <w:lang w:val="fr-FR"/>
              </w:rPr>
              <w:t>JJ/MM/AAAA</w:t>
            </w:r>
          </w:p>
          <w:p w:rsidR="00845E61" w:rsidRPr="00355A03" w:rsidRDefault="00D75F40" w:rsidP="00845E61">
            <w:pPr>
              <w:pStyle w:val="BodyText"/>
              <w:tabs>
                <w:tab w:val="left" w:pos="4080"/>
              </w:tabs>
              <w:rPr>
                <w:rFonts w:ascii="Century Gothic" w:hAnsi="Century Gothic"/>
                <w:sz w:val="20"/>
                <w:lang w:val="fr-FR"/>
              </w:rPr>
            </w:pPr>
            <w:r>
              <w:rPr>
                <w:rFonts w:ascii="Century Gothic" w:hAnsi="Century Gothic"/>
                <w:sz w:val="20"/>
                <w:lang w:val="fr-FR"/>
              </w:rPr>
              <w:t xml:space="preserve">Devise du paiement                           </w:t>
            </w:r>
            <w:r w:rsidR="00845E61" w:rsidRPr="00355A03">
              <w:rPr>
                <w:rFonts w:ascii="Century Gothic" w:hAnsi="Century Gothic"/>
                <w:sz w:val="20"/>
                <w:lang w:val="fr-FR"/>
              </w:rPr>
              <w:t xml:space="preserve">:  </w:t>
            </w:r>
            <w:r w:rsidR="00845E61" w:rsidRPr="00355A03">
              <w:rPr>
                <w:rFonts w:ascii="Century Gothic" w:hAnsi="Century Gothic"/>
                <w:sz w:val="20"/>
                <w:highlight w:val="yellow"/>
                <w:lang w:val="fr-FR"/>
              </w:rPr>
              <w:t>DEVISE</w:t>
            </w:r>
          </w:p>
          <w:p w:rsidR="00845E61" w:rsidRPr="00355A03" w:rsidRDefault="00845E61" w:rsidP="00845E61">
            <w:pPr>
              <w:pStyle w:val="BodyText"/>
              <w:rPr>
                <w:rFonts w:ascii="Century Gothic" w:hAnsi="Century Gothic"/>
                <w:sz w:val="20"/>
                <w:lang w:val="fr-FR"/>
              </w:rPr>
            </w:pPr>
            <w:r w:rsidRPr="00355A03">
              <w:rPr>
                <w:rFonts w:ascii="Century Gothic" w:hAnsi="Century Gothic"/>
                <w:sz w:val="20"/>
                <w:lang w:val="fr-FR"/>
              </w:rPr>
              <w:t>Délai de paiement</w:t>
            </w:r>
            <w:r w:rsidR="00D75F40" w:rsidRPr="00355A03">
              <w:rPr>
                <w:rFonts w:ascii="Century Gothic" w:hAnsi="Century Gothic"/>
                <w:sz w:val="20"/>
                <w:lang w:val="fr-FR"/>
              </w:rPr>
              <w:tab/>
            </w:r>
            <w:r w:rsidR="00D75F40" w:rsidRPr="00355A03">
              <w:rPr>
                <w:rFonts w:ascii="Century Gothic" w:hAnsi="Century Gothic"/>
                <w:sz w:val="20"/>
                <w:lang w:val="fr-FR"/>
              </w:rPr>
              <w:tab/>
            </w:r>
            <w:r w:rsidR="00D75F40" w:rsidRPr="00355A03">
              <w:rPr>
                <w:rFonts w:ascii="Century Gothic" w:hAnsi="Century Gothic"/>
                <w:sz w:val="20"/>
                <w:lang w:val="fr-FR"/>
              </w:rPr>
              <w:tab/>
            </w:r>
            <w:r w:rsidRPr="00355A03">
              <w:rPr>
                <w:rFonts w:ascii="Century Gothic" w:hAnsi="Century Gothic"/>
                <w:sz w:val="20"/>
                <w:lang w:val="fr-FR"/>
              </w:rPr>
              <w:t xml:space="preserve">:  </w:t>
            </w:r>
            <w:r>
              <w:rPr>
                <w:rFonts w:ascii="Century Gothic" w:hAnsi="Century Gothic"/>
                <w:sz w:val="20"/>
                <w:lang w:val="fr-FR"/>
              </w:rPr>
              <w:t>30 jours net</w:t>
            </w:r>
          </w:p>
          <w:p w:rsidR="00845E61" w:rsidRPr="00355A03" w:rsidRDefault="00845E61" w:rsidP="00845E61">
            <w:pPr>
              <w:pStyle w:val="BodyText"/>
              <w:rPr>
                <w:rFonts w:ascii="Century Gothic" w:hAnsi="Century Gothic"/>
                <w:sz w:val="20"/>
                <w:lang w:val="fr-FR"/>
              </w:rPr>
            </w:pPr>
          </w:p>
        </w:tc>
      </w:tr>
    </w:tbl>
    <w:p w:rsidR="009527DF" w:rsidRDefault="009527DF" w:rsidP="009527DF">
      <w:pPr>
        <w:pStyle w:val="Heading1"/>
        <w:rPr>
          <w:i/>
        </w:rPr>
      </w:pPr>
      <w:bookmarkStart w:id="2" w:name="_Toc369859047"/>
      <w:r w:rsidRPr="004B476F">
        <w:rPr>
          <w:highlight w:val="yellow"/>
        </w:rPr>
        <w:t xml:space="preserve">SERVICES DU CONSULTANT </w:t>
      </w:r>
      <w:r w:rsidRPr="004B476F">
        <w:rPr>
          <w:i/>
          <w:highlight w:val="yellow"/>
        </w:rPr>
        <w:t>[SUPPRIMER SI NÉCESSAIRE]</w:t>
      </w:r>
      <w:bookmarkEnd w:id="2"/>
    </w:p>
    <w:tbl>
      <w:tblPr>
        <w:tblW w:w="14056" w:type="dxa"/>
        <w:tblInd w:w="18" w:type="dxa"/>
        <w:tblLook w:val="04A0" w:firstRow="1" w:lastRow="0" w:firstColumn="1" w:lastColumn="0" w:noHBand="0" w:noVBand="1"/>
      </w:tblPr>
      <w:tblGrid>
        <w:gridCol w:w="7936"/>
        <w:gridCol w:w="2040"/>
        <w:gridCol w:w="2040"/>
        <w:gridCol w:w="2040"/>
      </w:tblGrid>
      <w:tr w:rsidR="009527DF" w:rsidRPr="00DD01A3" w:rsidTr="009527DF">
        <w:trPr>
          <w:trHeight w:val="963"/>
        </w:trPr>
        <w:tc>
          <w:tcPr>
            <w:tcW w:w="7936" w:type="dxa"/>
            <w:tcBorders>
              <w:top w:val="single" w:sz="4" w:space="0" w:color="auto"/>
              <w:left w:val="single" w:sz="4" w:space="0" w:color="auto"/>
              <w:bottom w:val="single" w:sz="4" w:space="0" w:color="auto"/>
              <w:right w:val="single" w:sz="4" w:space="0" w:color="auto"/>
            </w:tcBorders>
            <w:shd w:val="solid" w:color="A6A6A6" w:themeColor="background1" w:themeShade="A6" w:fill="7F7F7F" w:themeFill="text1" w:themeFillTint="80"/>
            <w:vAlign w:val="center"/>
          </w:tcPr>
          <w:p w:rsidR="009527DF" w:rsidRPr="00DD01A3" w:rsidRDefault="00355A03" w:rsidP="009527DF">
            <w:pPr>
              <w:jc w:val="center"/>
              <w:rPr>
                <w:rFonts w:ascii="Calibri" w:hAnsi="Calibri" w:cs="Calibri"/>
                <w:b/>
                <w:bCs/>
              </w:rPr>
            </w:pPr>
            <w:r>
              <w:rPr>
                <w:rFonts w:ascii="Calibri" w:hAnsi="Calibri" w:cs="Calibri"/>
                <w:b/>
                <w:bCs/>
              </w:rPr>
              <w:t>Profil du consultant</w:t>
            </w:r>
          </w:p>
        </w:tc>
        <w:tc>
          <w:tcPr>
            <w:tcW w:w="2040" w:type="dxa"/>
            <w:tcBorders>
              <w:top w:val="single" w:sz="4" w:space="0" w:color="auto"/>
              <w:left w:val="nil"/>
              <w:bottom w:val="single" w:sz="4" w:space="0" w:color="auto"/>
              <w:right w:val="single" w:sz="4" w:space="0" w:color="auto"/>
            </w:tcBorders>
            <w:shd w:val="solid" w:color="A6A6A6" w:themeColor="background1" w:themeShade="A6" w:fill="7F7F7F" w:themeFill="text1" w:themeFillTint="80"/>
            <w:vAlign w:val="center"/>
          </w:tcPr>
          <w:p w:rsidR="009527DF" w:rsidRPr="00355A03" w:rsidRDefault="00355A03" w:rsidP="009527DF">
            <w:pPr>
              <w:jc w:val="center"/>
              <w:rPr>
                <w:rFonts w:ascii="Calibri" w:hAnsi="Calibri" w:cs="Calibri"/>
                <w:b/>
                <w:bCs/>
              </w:rPr>
            </w:pPr>
            <w:r w:rsidRPr="00355A03">
              <w:rPr>
                <w:rFonts w:ascii="Calibri" w:hAnsi="Calibri" w:cs="Calibri"/>
                <w:b/>
                <w:bCs/>
              </w:rPr>
              <w:t>Coût journalier sur site</w:t>
            </w:r>
          </w:p>
          <w:p w:rsidR="00355A03" w:rsidRPr="00355A03" w:rsidRDefault="00355A03" w:rsidP="009527DF">
            <w:pPr>
              <w:jc w:val="center"/>
              <w:rPr>
                <w:rFonts w:ascii="Calibri" w:hAnsi="Calibri" w:cs="Calibri"/>
                <w:b/>
                <w:bCs/>
              </w:rPr>
            </w:pPr>
            <w:r w:rsidRPr="00355A03">
              <w:rPr>
                <w:rFonts w:ascii="Calibri" w:hAnsi="Calibri" w:cs="Calibri"/>
                <w:b/>
                <w:bCs/>
              </w:rPr>
              <w:t>(Devise)</w:t>
            </w:r>
          </w:p>
        </w:tc>
        <w:tc>
          <w:tcPr>
            <w:tcW w:w="2040" w:type="dxa"/>
            <w:tcBorders>
              <w:top w:val="single" w:sz="4" w:space="0" w:color="auto"/>
              <w:left w:val="nil"/>
              <w:bottom w:val="single" w:sz="4" w:space="0" w:color="auto"/>
              <w:right w:val="single" w:sz="4" w:space="0" w:color="auto"/>
            </w:tcBorders>
            <w:shd w:val="solid" w:color="A6A6A6" w:themeColor="background1" w:themeShade="A6" w:fill="7F7F7F" w:themeFill="text1" w:themeFillTint="80"/>
            <w:vAlign w:val="center"/>
          </w:tcPr>
          <w:p w:rsidR="009527DF" w:rsidRPr="00355A03" w:rsidRDefault="00355A03" w:rsidP="00355A03">
            <w:pPr>
              <w:jc w:val="center"/>
              <w:rPr>
                <w:rFonts w:ascii="Calibri" w:hAnsi="Calibri" w:cs="Calibri"/>
                <w:b/>
                <w:bCs/>
              </w:rPr>
            </w:pPr>
            <w:r w:rsidRPr="00355A03">
              <w:rPr>
                <w:rFonts w:ascii="Calibri" w:hAnsi="Calibri" w:cs="Calibri"/>
                <w:b/>
                <w:bCs/>
              </w:rPr>
              <w:t>Coût journalier hors site</w:t>
            </w:r>
          </w:p>
          <w:p w:rsidR="00355A03" w:rsidRPr="00355A03" w:rsidRDefault="00355A03" w:rsidP="00355A03">
            <w:pPr>
              <w:jc w:val="center"/>
              <w:rPr>
                <w:rFonts w:ascii="Calibri" w:hAnsi="Calibri" w:cs="Calibri"/>
                <w:b/>
                <w:bCs/>
              </w:rPr>
            </w:pPr>
            <w:r w:rsidRPr="00355A03">
              <w:rPr>
                <w:rFonts w:ascii="Calibri" w:hAnsi="Calibri" w:cs="Calibri"/>
                <w:b/>
                <w:bCs/>
              </w:rPr>
              <w:t>(Devise)</w:t>
            </w:r>
          </w:p>
        </w:tc>
        <w:tc>
          <w:tcPr>
            <w:tcW w:w="2040" w:type="dxa"/>
            <w:tcBorders>
              <w:top w:val="nil"/>
              <w:left w:val="nil"/>
              <w:bottom w:val="nil"/>
              <w:right w:val="single" w:sz="4" w:space="0" w:color="auto"/>
            </w:tcBorders>
            <w:shd w:val="solid" w:color="A6A6A6" w:themeColor="background1" w:themeShade="A6" w:fill="7F7F7F" w:themeFill="text1" w:themeFillTint="80"/>
            <w:vAlign w:val="center"/>
          </w:tcPr>
          <w:p w:rsidR="009527DF" w:rsidRDefault="00295E56" w:rsidP="009527DF">
            <w:pPr>
              <w:jc w:val="center"/>
              <w:rPr>
                <w:rFonts w:ascii="Calibri" w:hAnsi="Calibri" w:cs="Calibri"/>
                <w:b/>
                <w:bCs/>
              </w:rPr>
            </w:pPr>
            <w:r>
              <w:rPr>
                <w:rFonts w:ascii="Calibri" w:hAnsi="Calibri" w:cs="Calibri"/>
                <w:b/>
                <w:bCs/>
              </w:rPr>
              <w:t>Délai</w:t>
            </w:r>
            <w:r w:rsidR="0054153D">
              <w:rPr>
                <w:rFonts w:ascii="Calibri" w:hAnsi="Calibri" w:cs="Calibri"/>
                <w:b/>
                <w:bCs/>
              </w:rPr>
              <w:t xml:space="preserve"> de </w:t>
            </w:r>
            <w:r w:rsidR="00D75F40">
              <w:rPr>
                <w:rFonts w:ascii="Calibri" w:hAnsi="Calibri" w:cs="Calibri"/>
                <w:b/>
                <w:bCs/>
              </w:rPr>
              <w:t>livraison</w:t>
            </w:r>
          </w:p>
          <w:p w:rsidR="00295E56" w:rsidRPr="00DD01A3" w:rsidRDefault="00295E56" w:rsidP="009527DF">
            <w:pPr>
              <w:jc w:val="center"/>
              <w:rPr>
                <w:rFonts w:ascii="Calibri" w:hAnsi="Calibri" w:cs="Calibri"/>
                <w:b/>
                <w:bCs/>
              </w:rPr>
            </w:pPr>
            <w:r>
              <w:rPr>
                <w:rFonts w:ascii="Calibri" w:hAnsi="Calibri" w:cs="Calibri"/>
                <w:b/>
                <w:bCs/>
              </w:rPr>
              <w:t>(Semaines)</w:t>
            </w:r>
          </w:p>
        </w:tc>
      </w:tr>
      <w:tr w:rsidR="009527DF" w:rsidRPr="00AF2BBB" w:rsidTr="009527DF">
        <w:trPr>
          <w:trHeight w:val="321"/>
        </w:trPr>
        <w:tc>
          <w:tcPr>
            <w:tcW w:w="7936" w:type="dxa"/>
            <w:tcBorders>
              <w:top w:val="nil"/>
              <w:left w:val="single" w:sz="4" w:space="0" w:color="auto"/>
              <w:bottom w:val="single" w:sz="4" w:space="0" w:color="auto"/>
              <w:right w:val="single" w:sz="4" w:space="0" w:color="auto"/>
            </w:tcBorders>
            <w:shd w:val="clear" w:color="auto" w:fill="auto"/>
            <w:vAlign w:val="center"/>
          </w:tcPr>
          <w:p w:rsidR="009527DF" w:rsidRPr="00AF2BBB" w:rsidRDefault="009527DF" w:rsidP="009527DF">
            <w:pPr>
              <w:rPr>
                <w:rFonts w:ascii="Arial" w:hAnsi="Arial" w:cs="Arial"/>
              </w:rPr>
            </w:pPr>
          </w:p>
        </w:tc>
        <w:tc>
          <w:tcPr>
            <w:tcW w:w="2040" w:type="dxa"/>
            <w:tcBorders>
              <w:top w:val="nil"/>
              <w:left w:val="nil"/>
              <w:bottom w:val="single" w:sz="4" w:space="0" w:color="auto"/>
              <w:right w:val="single" w:sz="4" w:space="0" w:color="auto"/>
            </w:tcBorders>
            <w:shd w:val="clear" w:color="auto" w:fill="auto"/>
            <w:noWrap/>
            <w:vAlign w:val="bottom"/>
          </w:tcPr>
          <w:p w:rsidR="009527DF" w:rsidRPr="00AF2BBB" w:rsidRDefault="009527DF" w:rsidP="009527DF">
            <w:pPr>
              <w:jc w:val="right"/>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noWrap/>
            <w:vAlign w:val="bottom"/>
          </w:tcPr>
          <w:p w:rsidR="009527DF" w:rsidRPr="00AF2BBB" w:rsidRDefault="009527DF" w:rsidP="009527DF">
            <w:pPr>
              <w:jc w:val="right"/>
              <w:rPr>
                <w:rFonts w:ascii="Calibri" w:hAnsi="Calibri" w:cs="Calibri"/>
                <w:color w:val="000000"/>
              </w:rPr>
            </w:pPr>
          </w:p>
        </w:tc>
        <w:tc>
          <w:tcPr>
            <w:tcW w:w="2040" w:type="dxa"/>
            <w:tcBorders>
              <w:top w:val="single" w:sz="4" w:space="0" w:color="auto"/>
              <w:left w:val="nil"/>
              <w:bottom w:val="single" w:sz="4" w:space="0" w:color="auto"/>
              <w:right w:val="single" w:sz="4" w:space="0" w:color="auto"/>
            </w:tcBorders>
            <w:shd w:val="clear" w:color="auto" w:fill="auto"/>
            <w:noWrap/>
            <w:vAlign w:val="bottom"/>
          </w:tcPr>
          <w:p w:rsidR="009527DF" w:rsidRPr="00AF2BBB" w:rsidRDefault="009527DF" w:rsidP="009527DF">
            <w:pPr>
              <w:rPr>
                <w:rFonts w:ascii="Calibri" w:hAnsi="Calibri" w:cs="Calibri"/>
                <w:color w:val="000000"/>
              </w:rPr>
            </w:pPr>
          </w:p>
        </w:tc>
      </w:tr>
      <w:tr w:rsidR="009527DF" w:rsidRPr="00AF2BBB" w:rsidTr="009527DF">
        <w:trPr>
          <w:trHeight w:val="321"/>
        </w:trPr>
        <w:tc>
          <w:tcPr>
            <w:tcW w:w="7936" w:type="dxa"/>
            <w:tcBorders>
              <w:top w:val="nil"/>
              <w:left w:val="single" w:sz="4" w:space="0" w:color="auto"/>
              <w:bottom w:val="single" w:sz="4" w:space="0" w:color="auto"/>
              <w:right w:val="single" w:sz="4" w:space="0" w:color="auto"/>
            </w:tcBorders>
            <w:shd w:val="clear" w:color="auto" w:fill="auto"/>
            <w:vAlign w:val="center"/>
          </w:tcPr>
          <w:p w:rsidR="009527DF" w:rsidRPr="00AF2BBB" w:rsidRDefault="009527DF" w:rsidP="009527DF">
            <w:pPr>
              <w:rPr>
                <w:rFonts w:ascii="Arial" w:hAnsi="Arial" w:cs="Arial"/>
              </w:rPr>
            </w:pPr>
          </w:p>
        </w:tc>
        <w:tc>
          <w:tcPr>
            <w:tcW w:w="2040" w:type="dxa"/>
            <w:tcBorders>
              <w:top w:val="nil"/>
              <w:left w:val="nil"/>
              <w:bottom w:val="single" w:sz="4" w:space="0" w:color="auto"/>
              <w:right w:val="single" w:sz="4" w:space="0" w:color="auto"/>
            </w:tcBorders>
            <w:shd w:val="clear" w:color="auto" w:fill="auto"/>
            <w:noWrap/>
            <w:vAlign w:val="bottom"/>
          </w:tcPr>
          <w:p w:rsidR="009527DF" w:rsidRPr="00AF2BBB" w:rsidRDefault="009527DF" w:rsidP="009527DF">
            <w:pPr>
              <w:jc w:val="right"/>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noWrap/>
            <w:vAlign w:val="bottom"/>
          </w:tcPr>
          <w:p w:rsidR="009527DF" w:rsidRPr="00AF2BBB" w:rsidRDefault="009527DF" w:rsidP="009527DF">
            <w:pPr>
              <w:jc w:val="right"/>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noWrap/>
            <w:vAlign w:val="bottom"/>
          </w:tcPr>
          <w:p w:rsidR="009527DF" w:rsidRPr="00AF2BBB" w:rsidRDefault="009527DF" w:rsidP="009527DF">
            <w:pPr>
              <w:rPr>
                <w:rFonts w:ascii="Calibri" w:hAnsi="Calibri" w:cs="Calibri"/>
                <w:color w:val="000000"/>
              </w:rPr>
            </w:pPr>
          </w:p>
        </w:tc>
      </w:tr>
      <w:tr w:rsidR="009527DF" w:rsidRPr="00AF2BBB" w:rsidTr="009527DF">
        <w:trPr>
          <w:trHeight w:val="321"/>
        </w:trPr>
        <w:tc>
          <w:tcPr>
            <w:tcW w:w="7936" w:type="dxa"/>
            <w:tcBorders>
              <w:top w:val="nil"/>
              <w:left w:val="single" w:sz="4" w:space="0" w:color="auto"/>
              <w:bottom w:val="single" w:sz="4" w:space="0" w:color="auto"/>
              <w:right w:val="single" w:sz="4" w:space="0" w:color="auto"/>
            </w:tcBorders>
            <w:shd w:val="clear" w:color="auto" w:fill="auto"/>
            <w:vAlign w:val="center"/>
          </w:tcPr>
          <w:p w:rsidR="009527DF" w:rsidRPr="00AF2BBB" w:rsidRDefault="009527DF" w:rsidP="009527DF">
            <w:pPr>
              <w:rPr>
                <w:rFonts w:ascii="Arial" w:hAnsi="Arial" w:cs="Arial"/>
              </w:rPr>
            </w:pPr>
          </w:p>
        </w:tc>
        <w:tc>
          <w:tcPr>
            <w:tcW w:w="2040" w:type="dxa"/>
            <w:tcBorders>
              <w:top w:val="nil"/>
              <w:left w:val="nil"/>
              <w:bottom w:val="single" w:sz="4" w:space="0" w:color="auto"/>
              <w:right w:val="single" w:sz="4" w:space="0" w:color="auto"/>
            </w:tcBorders>
            <w:shd w:val="clear" w:color="auto" w:fill="auto"/>
            <w:noWrap/>
            <w:vAlign w:val="bottom"/>
          </w:tcPr>
          <w:p w:rsidR="009527DF" w:rsidRPr="00AF2BBB" w:rsidRDefault="009527DF" w:rsidP="009527DF">
            <w:pPr>
              <w:jc w:val="right"/>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noWrap/>
            <w:vAlign w:val="bottom"/>
          </w:tcPr>
          <w:p w:rsidR="009527DF" w:rsidRPr="00AF2BBB" w:rsidRDefault="009527DF" w:rsidP="009527DF">
            <w:pPr>
              <w:jc w:val="right"/>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noWrap/>
            <w:vAlign w:val="bottom"/>
          </w:tcPr>
          <w:p w:rsidR="009527DF" w:rsidRPr="00AF2BBB" w:rsidRDefault="009527DF" w:rsidP="009527DF">
            <w:pPr>
              <w:rPr>
                <w:rFonts w:ascii="Calibri" w:hAnsi="Calibri" w:cs="Calibri"/>
                <w:color w:val="000000"/>
              </w:rPr>
            </w:pPr>
          </w:p>
        </w:tc>
      </w:tr>
    </w:tbl>
    <w:p w:rsidR="009527DF" w:rsidRDefault="009527DF" w:rsidP="009527DF"/>
    <w:p w:rsidR="00295E56" w:rsidRDefault="00295E56" w:rsidP="00295E56">
      <w:pPr>
        <w:pStyle w:val="Heading1"/>
        <w:rPr>
          <w:i/>
        </w:rPr>
      </w:pPr>
      <w:bookmarkStart w:id="3" w:name="_Toc369859048"/>
      <w:r w:rsidRPr="00295E56">
        <w:rPr>
          <w:highlight w:val="yellow"/>
        </w:rPr>
        <w:t xml:space="preserve">PRODUITS </w:t>
      </w:r>
      <w:r w:rsidRPr="00295E56">
        <w:rPr>
          <w:i/>
          <w:highlight w:val="yellow"/>
        </w:rPr>
        <w:t>[SUPPRIMER SI NÉCESSAIRE]</w:t>
      </w:r>
      <w:bookmarkEnd w:id="3"/>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1526"/>
        <w:gridCol w:w="1417"/>
        <w:gridCol w:w="1257"/>
        <w:gridCol w:w="1400"/>
        <w:gridCol w:w="1400"/>
        <w:gridCol w:w="1400"/>
        <w:gridCol w:w="1400"/>
        <w:gridCol w:w="1400"/>
        <w:gridCol w:w="1524"/>
        <w:gridCol w:w="1276"/>
      </w:tblGrid>
      <w:tr w:rsidR="00295E56" w:rsidRPr="00295E56" w:rsidTr="00295E56">
        <w:tc>
          <w:tcPr>
            <w:tcW w:w="14000" w:type="dxa"/>
            <w:gridSpan w:val="10"/>
            <w:tcBorders>
              <w:bottom w:val="single" w:sz="4" w:space="0" w:color="auto"/>
            </w:tcBorders>
            <w:shd w:val="clear" w:color="auto" w:fill="A6A6A6" w:themeFill="background1" w:themeFillShade="A6"/>
          </w:tcPr>
          <w:p w:rsidR="00295E56" w:rsidRPr="00295E56" w:rsidRDefault="00295E56" w:rsidP="003E5534">
            <w:pPr>
              <w:pStyle w:val="BodyText"/>
              <w:jc w:val="center"/>
              <w:rPr>
                <w:rFonts w:ascii="Century Gothic" w:hAnsi="Century Gothic" w:cs="Arial"/>
                <w:b/>
                <w:color w:val="FFFFFF" w:themeColor="background1"/>
                <w:sz w:val="20"/>
                <w:lang w:val="fr-FR"/>
              </w:rPr>
            </w:pPr>
            <w:r w:rsidRPr="004B476F">
              <w:rPr>
                <w:rFonts w:ascii="Century Gothic" w:hAnsi="Century Gothic"/>
                <w:b/>
                <w:sz w:val="20"/>
                <w:lang w:val="fr-FR"/>
              </w:rPr>
              <w:t>Accor</w:t>
            </w:r>
            <w:r>
              <w:rPr>
                <w:rFonts w:ascii="Century Gothic" w:hAnsi="Century Gothic"/>
                <w:b/>
                <w:sz w:val="20"/>
                <w:lang w:val="fr-FR"/>
              </w:rPr>
              <w:t>d</w:t>
            </w:r>
            <w:r w:rsidRPr="004B476F">
              <w:rPr>
                <w:rFonts w:ascii="Century Gothic" w:hAnsi="Century Gothic"/>
                <w:b/>
                <w:sz w:val="20"/>
                <w:lang w:val="fr-FR"/>
              </w:rPr>
              <w:t xml:space="preserve"> à Long-terme No. </w:t>
            </w:r>
            <w:r w:rsidRPr="004B476F">
              <w:rPr>
                <w:rFonts w:ascii="Century Gothic" w:hAnsi="Century Gothic"/>
                <w:b/>
                <w:i/>
                <w:sz w:val="20"/>
                <w:highlight w:val="yellow"/>
                <w:lang w:val="fr-FR"/>
              </w:rPr>
              <w:t xml:space="preserve">ANNÉE/No. – NOM DU </w:t>
            </w:r>
            <w:r w:rsidR="003E5534" w:rsidRPr="003E5534">
              <w:rPr>
                <w:rFonts w:ascii="Century Gothic" w:hAnsi="Century Gothic"/>
                <w:b/>
                <w:i/>
                <w:sz w:val="20"/>
                <w:highlight w:val="yellow"/>
                <w:lang w:val="fr-FR"/>
              </w:rPr>
              <w:t>FOURNISSEUR</w:t>
            </w:r>
          </w:p>
        </w:tc>
      </w:tr>
      <w:tr w:rsidR="00295E56" w:rsidRPr="00295E56" w:rsidTr="00295E56">
        <w:trPr>
          <w:trHeight w:val="1164"/>
        </w:trPr>
        <w:tc>
          <w:tcPr>
            <w:tcW w:w="14000" w:type="dxa"/>
            <w:gridSpan w:val="10"/>
            <w:tcBorders>
              <w:bottom w:val="single" w:sz="4" w:space="0" w:color="auto"/>
            </w:tcBorders>
          </w:tcPr>
          <w:p w:rsidR="00295E56" w:rsidRPr="007D4742" w:rsidRDefault="00295E56" w:rsidP="00295E56">
            <w:pPr>
              <w:pStyle w:val="BodyText"/>
              <w:rPr>
                <w:rFonts w:ascii="Century Gothic" w:hAnsi="Century Gothic" w:cs="Arial"/>
                <w:sz w:val="20"/>
                <w:lang w:val="fr-FR"/>
              </w:rPr>
            </w:pPr>
          </w:p>
          <w:p w:rsidR="00295E56" w:rsidRPr="007D4742" w:rsidRDefault="00D75F40" w:rsidP="00295E56">
            <w:pPr>
              <w:pStyle w:val="BodyText"/>
              <w:rPr>
                <w:rFonts w:ascii="Century Gothic" w:hAnsi="Century Gothic"/>
                <w:sz w:val="20"/>
                <w:lang w:val="fr-FR"/>
              </w:rPr>
            </w:pPr>
            <w:r>
              <w:rPr>
                <w:rFonts w:ascii="Century Gothic" w:hAnsi="Century Gothic"/>
                <w:sz w:val="20"/>
                <w:lang w:val="fr-FR"/>
              </w:rPr>
              <w:t>Validité</w:t>
            </w:r>
            <w:r w:rsidRPr="00355A03">
              <w:rPr>
                <w:rFonts w:ascii="Century Gothic" w:hAnsi="Century Gothic"/>
                <w:sz w:val="20"/>
                <w:lang w:val="fr-FR"/>
              </w:rPr>
              <w:tab/>
            </w:r>
            <w:r w:rsidRPr="00355A03">
              <w:rPr>
                <w:rFonts w:ascii="Century Gothic" w:hAnsi="Century Gothic"/>
                <w:sz w:val="20"/>
                <w:lang w:val="fr-FR"/>
              </w:rPr>
              <w:tab/>
            </w:r>
            <w:r w:rsidRPr="00355A03">
              <w:rPr>
                <w:rFonts w:ascii="Century Gothic" w:hAnsi="Century Gothic"/>
                <w:sz w:val="20"/>
                <w:lang w:val="fr-FR"/>
              </w:rPr>
              <w:tab/>
            </w:r>
            <w:r w:rsidRPr="00355A03">
              <w:rPr>
                <w:rFonts w:ascii="Century Gothic" w:hAnsi="Century Gothic"/>
                <w:sz w:val="20"/>
                <w:lang w:val="fr-FR"/>
              </w:rPr>
              <w:tab/>
            </w:r>
            <w:r w:rsidR="00295E56" w:rsidRPr="007D4742">
              <w:rPr>
                <w:rFonts w:ascii="Century Gothic" w:hAnsi="Century Gothic"/>
                <w:sz w:val="20"/>
                <w:lang w:val="fr-FR"/>
              </w:rPr>
              <w:t xml:space="preserve">: </w:t>
            </w:r>
            <w:r w:rsidR="00295E56" w:rsidRPr="007D4742">
              <w:rPr>
                <w:rFonts w:ascii="Century Gothic" w:hAnsi="Century Gothic"/>
                <w:b/>
                <w:bCs/>
                <w:sz w:val="20"/>
                <w:lang w:val="fr-FR"/>
              </w:rPr>
              <w:t xml:space="preserve"> </w:t>
            </w:r>
            <w:r w:rsidR="00295E56" w:rsidRPr="007D4742">
              <w:rPr>
                <w:rFonts w:ascii="Century Gothic" w:hAnsi="Century Gothic"/>
                <w:bCs/>
                <w:i/>
                <w:sz w:val="20"/>
                <w:lang w:val="fr-FR"/>
              </w:rPr>
              <w:t xml:space="preserve">Du </w:t>
            </w:r>
            <w:r w:rsidR="00295E56" w:rsidRPr="007D4742">
              <w:rPr>
                <w:rFonts w:ascii="Century Gothic" w:hAnsi="Century Gothic"/>
                <w:bCs/>
                <w:i/>
                <w:sz w:val="20"/>
                <w:highlight w:val="yellow"/>
                <w:lang w:val="fr-FR"/>
              </w:rPr>
              <w:t xml:space="preserve">JJ/MM/AAAA </w:t>
            </w:r>
            <w:r w:rsidR="00295E56" w:rsidRPr="007D4742">
              <w:rPr>
                <w:rFonts w:ascii="Century Gothic" w:hAnsi="Century Gothic"/>
                <w:bCs/>
                <w:i/>
                <w:sz w:val="20"/>
                <w:lang w:val="fr-FR"/>
              </w:rPr>
              <w:t xml:space="preserve">au </w:t>
            </w:r>
            <w:r w:rsidR="00295E56" w:rsidRPr="007D4742">
              <w:rPr>
                <w:rFonts w:ascii="Century Gothic" w:hAnsi="Century Gothic"/>
                <w:bCs/>
                <w:i/>
                <w:sz w:val="20"/>
                <w:highlight w:val="yellow"/>
                <w:lang w:val="fr-FR"/>
              </w:rPr>
              <w:t>JJ/MM/AAAA</w:t>
            </w:r>
          </w:p>
          <w:p w:rsidR="00295E56" w:rsidRPr="007D4742" w:rsidRDefault="00295E56" w:rsidP="00295E56">
            <w:pPr>
              <w:pStyle w:val="BodyText"/>
              <w:rPr>
                <w:rFonts w:ascii="Century Gothic" w:hAnsi="Century Gothic"/>
                <w:sz w:val="20"/>
                <w:shd w:val="clear" w:color="auto" w:fill="FFFF00"/>
                <w:lang w:val="fr-FR"/>
              </w:rPr>
            </w:pPr>
            <w:bookmarkStart w:id="4" w:name="OLE_LINK17"/>
            <w:r w:rsidRPr="007D4742">
              <w:rPr>
                <w:rFonts w:ascii="Century Gothic" w:hAnsi="Century Gothic" w:cs="Arial"/>
                <w:sz w:val="20"/>
                <w:lang w:val="fr-FR"/>
              </w:rPr>
              <w:t>Déla</w:t>
            </w:r>
            <w:r w:rsidR="00D75F40">
              <w:rPr>
                <w:rFonts w:ascii="Century Gothic" w:hAnsi="Century Gothic" w:cs="Arial"/>
                <w:sz w:val="20"/>
                <w:lang w:val="fr-FR"/>
              </w:rPr>
              <w:t>i de livraison</w:t>
            </w:r>
            <w:r w:rsidR="00D75F40" w:rsidRPr="00355A03">
              <w:rPr>
                <w:rFonts w:ascii="Century Gothic" w:hAnsi="Century Gothic"/>
                <w:sz w:val="20"/>
                <w:lang w:val="fr-FR"/>
              </w:rPr>
              <w:tab/>
            </w:r>
            <w:r w:rsidR="00D75F40" w:rsidRPr="00355A03">
              <w:rPr>
                <w:rFonts w:ascii="Century Gothic" w:hAnsi="Century Gothic"/>
                <w:sz w:val="20"/>
                <w:lang w:val="fr-FR"/>
              </w:rPr>
              <w:tab/>
            </w:r>
            <w:r w:rsidR="00D75F40" w:rsidRPr="00355A03">
              <w:rPr>
                <w:rFonts w:ascii="Century Gothic" w:hAnsi="Century Gothic"/>
                <w:sz w:val="20"/>
                <w:lang w:val="fr-FR"/>
              </w:rPr>
              <w:tab/>
            </w:r>
            <w:r w:rsidRPr="007D4742">
              <w:rPr>
                <w:rFonts w:ascii="Century Gothic" w:hAnsi="Century Gothic" w:cs="Arial"/>
                <w:sz w:val="20"/>
                <w:lang w:val="fr-FR"/>
              </w:rPr>
              <w:t xml:space="preserve">:  </w:t>
            </w:r>
            <w:r w:rsidRPr="007D4742">
              <w:rPr>
                <w:rFonts w:ascii="Century Gothic" w:hAnsi="Century Gothic"/>
                <w:sz w:val="20"/>
                <w:shd w:val="clear" w:color="auto" w:fill="FFFF00"/>
                <w:lang w:val="fr-FR"/>
              </w:rPr>
              <w:t>lieu de départ</w:t>
            </w:r>
            <w:r w:rsidR="002B0374" w:rsidRPr="007D4742">
              <w:rPr>
                <w:rFonts w:ascii="Century Gothic" w:hAnsi="Century Gothic"/>
                <w:sz w:val="20"/>
                <w:shd w:val="clear" w:color="auto" w:fill="FFFF00"/>
                <w:lang w:val="fr-FR"/>
              </w:rPr>
              <w:t xml:space="preserve"> FCA</w:t>
            </w:r>
          </w:p>
          <w:bookmarkEnd w:id="4"/>
          <w:p w:rsidR="00295E56" w:rsidRPr="007D4742" w:rsidRDefault="00D75F40" w:rsidP="00295E56">
            <w:pPr>
              <w:pStyle w:val="BodyText"/>
              <w:tabs>
                <w:tab w:val="left" w:pos="4080"/>
              </w:tabs>
              <w:rPr>
                <w:rFonts w:ascii="Century Gothic" w:hAnsi="Century Gothic"/>
                <w:sz w:val="20"/>
                <w:lang w:val="fr-FR"/>
              </w:rPr>
            </w:pPr>
            <w:r>
              <w:rPr>
                <w:rFonts w:ascii="Century Gothic" w:hAnsi="Century Gothic"/>
                <w:sz w:val="20"/>
                <w:lang w:val="fr-FR"/>
              </w:rPr>
              <w:t xml:space="preserve">Devise du paiement                            </w:t>
            </w:r>
            <w:r w:rsidR="00295E56" w:rsidRPr="007D4742">
              <w:rPr>
                <w:rFonts w:ascii="Century Gothic" w:hAnsi="Century Gothic"/>
                <w:sz w:val="20"/>
                <w:lang w:val="fr-FR"/>
              </w:rPr>
              <w:t>:</w:t>
            </w:r>
            <w:r w:rsidRPr="00355A03">
              <w:rPr>
                <w:rFonts w:ascii="Century Gothic" w:hAnsi="Century Gothic"/>
                <w:sz w:val="20"/>
                <w:lang w:val="fr-FR"/>
              </w:rPr>
              <w:t xml:space="preserve"> </w:t>
            </w:r>
            <w:r w:rsidR="00295E56" w:rsidRPr="007D4742">
              <w:rPr>
                <w:rFonts w:ascii="Century Gothic" w:hAnsi="Century Gothic"/>
                <w:sz w:val="20"/>
                <w:highlight w:val="yellow"/>
                <w:lang w:val="fr-FR"/>
              </w:rPr>
              <w:t>DEVISE</w:t>
            </w:r>
          </w:p>
          <w:p w:rsidR="00295E56" w:rsidRPr="007D4742" w:rsidRDefault="00D75F40" w:rsidP="00295E56">
            <w:pPr>
              <w:pStyle w:val="BodyText"/>
              <w:rPr>
                <w:rFonts w:ascii="Century Gothic" w:hAnsi="Century Gothic"/>
                <w:sz w:val="20"/>
                <w:lang w:val="fr-FR"/>
              </w:rPr>
            </w:pPr>
            <w:r>
              <w:rPr>
                <w:rFonts w:ascii="Century Gothic" w:hAnsi="Century Gothic"/>
                <w:sz w:val="20"/>
                <w:lang w:val="fr-FR"/>
              </w:rPr>
              <w:t>Délai de paiement</w:t>
            </w:r>
            <w:r w:rsidRPr="00355A03">
              <w:rPr>
                <w:rFonts w:ascii="Century Gothic" w:hAnsi="Century Gothic"/>
                <w:sz w:val="20"/>
                <w:lang w:val="fr-FR"/>
              </w:rPr>
              <w:tab/>
            </w:r>
            <w:r w:rsidRPr="00355A03">
              <w:rPr>
                <w:rFonts w:ascii="Century Gothic" w:hAnsi="Century Gothic"/>
                <w:sz w:val="20"/>
                <w:lang w:val="fr-FR"/>
              </w:rPr>
              <w:tab/>
            </w:r>
            <w:r w:rsidRPr="00355A03">
              <w:rPr>
                <w:rFonts w:ascii="Century Gothic" w:hAnsi="Century Gothic"/>
                <w:sz w:val="20"/>
                <w:lang w:val="fr-FR"/>
              </w:rPr>
              <w:tab/>
            </w:r>
            <w:r w:rsidR="00295E56" w:rsidRPr="007D4742">
              <w:rPr>
                <w:rFonts w:ascii="Century Gothic" w:hAnsi="Century Gothic"/>
                <w:sz w:val="20"/>
                <w:lang w:val="fr-FR"/>
              </w:rPr>
              <w:t>:  30 jours net</w:t>
            </w:r>
          </w:p>
          <w:p w:rsidR="00295E56" w:rsidRPr="007D4742" w:rsidRDefault="00295E56" w:rsidP="00295E56">
            <w:pPr>
              <w:pStyle w:val="BodyText"/>
              <w:rPr>
                <w:rFonts w:ascii="Century Gothic" w:hAnsi="Century Gothic" w:cs="Arial"/>
                <w:sz w:val="20"/>
                <w:lang w:val="fr-FR"/>
              </w:rPr>
            </w:pPr>
          </w:p>
        </w:tc>
      </w:tr>
      <w:tr w:rsidR="00295E56" w:rsidRPr="00DD01A3" w:rsidTr="00D75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152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295E56" w:rsidRPr="007D4742" w:rsidRDefault="00295E56" w:rsidP="00295E56">
            <w:pPr>
              <w:jc w:val="center"/>
              <w:rPr>
                <w:rFonts w:cs="Arial"/>
                <w:b/>
                <w:bCs/>
                <w:szCs w:val="20"/>
              </w:rPr>
            </w:pPr>
            <w:r w:rsidRPr="007D4742">
              <w:rPr>
                <w:rFonts w:cs="Arial"/>
                <w:b/>
                <w:bCs/>
                <w:szCs w:val="20"/>
              </w:rPr>
              <w:t>Identification du produit Atlas</w:t>
            </w:r>
          </w:p>
        </w:tc>
        <w:tc>
          <w:tcPr>
            <w:tcW w:w="1417" w:type="dxa"/>
            <w:tcBorders>
              <w:top w:val="single" w:sz="4" w:space="0" w:color="auto"/>
              <w:left w:val="nil"/>
              <w:bottom w:val="single" w:sz="4" w:space="0" w:color="auto"/>
              <w:right w:val="single" w:sz="4" w:space="0" w:color="auto"/>
            </w:tcBorders>
            <w:shd w:val="clear" w:color="auto" w:fill="C0C0C0"/>
            <w:noWrap/>
            <w:vAlign w:val="center"/>
          </w:tcPr>
          <w:p w:rsidR="00295E56" w:rsidRPr="007D4742" w:rsidRDefault="00295E56" w:rsidP="00295E56">
            <w:pPr>
              <w:jc w:val="center"/>
              <w:rPr>
                <w:rFonts w:cs="Arial"/>
                <w:b/>
                <w:bCs/>
                <w:szCs w:val="20"/>
              </w:rPr>
            </w:pPr>
            <w:r w:rsidRPr="007D4742">
              <w:rPr>
                <w:rFonts w:cs="Arial"/>
                <w:b/>
                <w:bCs/>
                <w:szCs w:val="20"/>
              </w:rPr>
              <w:t>Description</w:t>
            </w:r>
          </w:p>
        </w:tc>
        <w:tc>
          <w:tcPr>
            <w:tcW w:w="1257" w:type="dxa"/>
            <w:tcBorders>
              <w:top w:val="single" w:sz="4" w:space="0" w:color="auto"/>
              <w:left w:val="nil"/>
              <w:bottom w:val="single" w:sz="4" w:space="0" w:color="auto"/>
              <w:right w:val="single" w:sz="4" w:space="0" w:color="auto"/>
            </w:tcBorders>
            <w:shd w:val="clear" w:color="auto" w:fill="C0C0C0"/>
            <w:noWrap/>
            <w:vAlign w:val="center"/>
          </w:tcPr>
          <w:p w:rsidR="00374BDC" w:rsidRPr="007D4742" w:rsidRDefault="008F54B1" w:rsidP="00374BDC">
            <w:pPr>
              <w:jc w:val="center"/>
              <w:rPr>
                <w:rFonts w:cs="Arial"/>
                <w:b/>
                <w:bCs/>
                <w:szCs w:val="20"/>
              </w:rPr>
            </w:pPr>
            <w:r w:rsidRPr="007D4742">
              <w:rPr>
                <w:rFonts w:cs="Arial"/>
                <w:b/>
                <w:bCs/>
                <w:szCs w:val="20"/>
              </w:rPr>
              <w:t>Unité de Mesure (</w:t>
            </w:r>
            <w:r w:rsidR="00374BDC" w:rsidRPr="007D4742">
              <w:rPr>
                <w:rFonts w:cs="Arial"/>
                <w:b/>
                <w:bCs/>
                <w:szCs w:val="20"/>
              </w:rPr>
              <w:t>UoM</w:t>
            </w:r>
            <w:r w:rsidRPr="007D4742">
              <w:rPr>
                <w:rFonts w:cs="Arial"/>
                <w:b/>
                <w:bCs/>
                <w:szCs w:val="20"/>
              </w:rPr>
              <w:t>)</w:t>
            </w:r>
            <w:r w:rsidR="00374BDC" w:rsidRPr="007D4742">
              <w:rPr>
                <w:rFonts w:cs="Arial"/>
                <w:b/>
                <w:bCs/>
                <w:szCs w:val="20"/>
              </w:rPr>
              <w:t xml:space="preserve"> des ventes</w:t>
            </w:r>
          </w:p>
        </w:tc>
        <w:tc>
          <w:tcPr>
            <w:tcW w:w="1400" w:type="dxa"/>
            <w:tcBorders>
              <w:top w:val="single" w:sz="4" w:space="0" w:color="auto"/>
              <w:left w:val="nil"/>
              <w:bottom w:val="single" w:sz="4" w:space="0" w:color="auto"/>
              <w:right w:val="single" w:sz="4" w:space="0" w:color="auto"/>
            </w:tcBorders>
            <w:shd w:val="clear" w:color="auto" w:fill="C0C0C0"/>
            <w:noWrap/>
            <w:vAlign w:val="center"/>
          </w:tcPr>
          <w:p w:rsidR="00295E56" w:rsidRPr="007D4742" w:rsidRDefault="00295E56" w:rsidP="00295E56">
            <w:pPr>
              <w:jc w:val="center"/>
              <w:rPr>
                <w:rFonts w:cs="Arial"/>
                <w:b/>
                <w:bCs/>
                <w:szCs w:val="20"/>
              </w:rPr>
            </w:pPr>
            <w:r w:rsidRPr="007D4742">
              <w:rPr>
                <w:rFonts w:cs="Arial"/>
                <w:b/>
                <w:bCs/>
                <w:szCs w:val="20"/>
              </w:rPr>
              <w:t>UoM primaire</w:t>
            </w:r>
          </w:p>
        </w:tc>
        <w:tc>
          <w:tcPr>
            <w:tcW w:w="1400" w:type="dxa"/>
            <w:tcBorders>
              <w:top w:val="single" w:sz="4" w:space="0" w:color="auto"/>
              <w:left w:val="nil"/>
              <w:bottom w:val="single" w:sz="4" w:space="0" w:color="auto"/>
              <w:right w:val="single" w:sz="4" w:space="0" w:color="auto"/>
            </w:tcBorders>
            <w:shd w:val="clear" w:color="auto" w:fill="C0C0C0"/>
            <w:noWrap/>
            <w:vAlign w:val="center"/>
          </w:tcPr>
          <w:p w:rsidR="00295E56" w:rsidRPr="007D4742" w:rsidRDefault="00295E56" w:rsidP="00845E61">
            <w:pPr>
              <w:jc w:val="center"/>
              <w:rPr>
                <w:rFonts w:cs="Arial"/>
                <w:b/>
                <w:bCs/>
                <w:szCs w:val="20"/>
              </w:rPr>
            </w:pPr>
            <w:r w:rsidRPr="007D4742">
              <w:rPr>
                <w:rFonts w:cs="Arial"/>
                <w:b/>
                <w:bCs/>
                <w:szCs w:val="20"/>
              </w:rPr>
              <w:t xml:space="preserve">Prix </w:t>
            </w:r>
            <w:r w:rsidR="00845E61">
              <w:rPr>
                <w:rFonts w:cs="Arial"/>
                <w:b/>
                <w:bCs/>
                <w:szCs w:val="20"/>
              </w:rPr>
              <w:t>unitaire</w:t>
            </w:r>
            <w:r w:rsidRPr="007D4742">
              <w:rPr>
                <w:rFonts w:cs="Arial"/>
                <w:b/>
                <w:bCs/>
                <w:szCs w:val="20"/>
              </w:rPr>
              <w:t xml:space="preserve"> </w:t>
            </w:r>
            <w:r w:rsidRPr="007D4742">
              <w:rPr>
                <w:rFonts w:cs="Arial"/>
                <w:b/>
                <w:bCs/>
                <w:szCs w:val="20"/>
                <w:highlight w:val="yellow"/>
              </w:rPr>
              <w:t>(Devise)</w:t>
            </w:r>
          </w:p>
        </w:tc>
        <w:tc>
          <w:tcPr>
            <w:tcW w:w="1400" w:type="dxa"/>
            <w:tcBorders>
              <w:top w:val="single" w:sz="4" w:space="0" w:color="auto"/>
              <w:left w:val="nil"/>
              <w:bottom w:val="single" w:sz="4" w:space="0" w:color="auto"/>
              <w:right w:val="single" w:sz="4" w:space="0" w:color="auto"/>
            </w:tcBorders>
            <w:shd w:val="clear" w:color="auto" w:fill="C0C0C0"/>
            <w:noWrap/>
            <w:vAlign w:val="center"/>
          </w:tcPr>
          <w:p w:rsidR="00295E56" w:rsidRPr="007D4742" w:rsidRDefault="008F54B1" w:rsidP="00295E56">
            <w:pPr>
              <w:jc w:val="center"/>
              <w:rPr>
                <w:rFonts w:cs="Arial"/>
                <w:b/>
                <w:bCs/>
                <w:szCs w:val="20"/>
              </w:rPr>
            </w:pPr>
            <w:r w:rsidRPr="007D4742">
              <w:rPr>
                <w:rFonts w:cs="Arial"/>
                <w:b/>
                <w:bCs/>
                <w:szCs w:val="20"/>
              </w:rPr>
              <w:t>Quantité Min./Mult. p</w:t>
            </w:r>
            <w:r w:rsidR="00374BDC" w:rsidRPr="007D4742">
              <w:rPr>
                <w:rFonts w:cs="Arial"/>
                <w:b/>
                <w:bCs/>
                <w:szCs w:val="20"/>
              </w:rPr>
              <w:t>ar UoM primaire</w:t>
            </w:r>
          </w:p>
        </w:tc>
        <w:tc>
          <w:tcPr>
            <w:tcW w:w="1400" w:type="dxa"/>
            <w:tcBorders>
              <w:top w:val="single" w:sz="4" w:space="0" w:color="auto"/>
              <w:left w:val="nil"/>
              <w:bottom w:val="single" w:sz="4" w:space="0" w:color="auto"/>
              <w:right w:val="single" w:sz="4" w:space="0" w:color="auto"/>
            </w:tcBorders>
            <w:shd w:val="clear" w:color="auto" w:fill="C0C0C0"/>
            <w:noWrap/>
            <w:vAlign w:val="center"/>
          </w:tcPr>
          <w:p w:rsidR="00295E56" w:rsidRPr="007D4742" w:rsidRDefault="00374BDC" w:rsidP="00374BDC">
            <w:pPr>
              <w:jc w:val="center"/>
              <w:rPr>
                <w:rFonts w:cs="Arial"/>
                <w:b/>
                <w:bCs/>
                <w:szCs w:val="20"/>
              </w:rPr>
            </w:pPr>
            <w:r w:rsidRPr="007D4742">
              <w:rPr>
                <w:rFonts w:cs="Arial"/>
                <w:b/>
                <w:bCs/>
                <w:szCs w:val="20"/>
              </w:rPr>
              <w:t xml:space="preserve">Remise de </w:t>
            </w:r>
            <w:r w:rsidR="002B4450" w:rsidRPr="007D4742">
              <w:rPr>
                <w:rFonts w:cs="Arial"/>
                <w:b/>
                <w:bCs/>
                <w:szCs w:val="20"/>
              </w:rPr>
              <w:t>volume</w:t>
            </w:r>
          </w:p>
          <w:p w:rsidR="00374BDC" w:rsidRPr="007D4742" w:rsidRDefault="00374BDC" w:rsidP="00374BDC">
            <w:pPr>
              <w:jc w:val="center"/>
              <w:rPr>
                <w:rFonts w:cs="Arial"/>
                <w:b/>
                <w:bCs/>
                <w:szCs w:val="20"/>
              </w:rPr>
            </w:pPr>
            <w:r w:rsidRPr="007D4742">
              <w:rPr>
                <w:rFonts w:cs="Arial"/>
                <w:b/>
                <w:bCs/>
                <w:szCs w:val="20"/>
              </w:rPr>
              <w:t>(par commande/par UoM primaire)</w:t>
            </w:r>
          </w:p>
        </w:tc>
        <w:tc>
          <w:tcPr>
            <w:tcW w:w="1400" w:type="dxa"/>
            <w:tcBorders>
              <w:top w:val="single" w:sz="4" w:space="0" w:color="auto"/>
              <w:left w:val="nil"/>
              <w:bottom w:val="single" w:sz="4" w:space="0" w:color="auto"/>
              <w:right w:val="single" w:sz="4" w:space="0" w:color="auto"/>
            </w:tcBorders>
            <w:shd w:val="clear" w:color="auto" w:fill="C0C0C0"/>
            <w:noWrap/>
            <w:vAlign w:val="center"/>
          </w:tcPr>
          <w:p w:rsidR="00295E56" w:rsidRPr="007D4742" w:rsidRDefault="00374BDC" w:rsidP="00221F7E">
            <w:pPr>
              <w:jc w:val="center"/>
              <w:rPr>
                <w:rFonts w:cs="Arial"/>
                <w:b/>
                <w:bCs/>
                <w:szCs w:val="20"/>
              </w:rPr>
            </w:pPr>
            <w:r w:rsidRPr="007D4742">
              <w:rPr>
                <w:rFonts w:cs="Arial"/>
                <w:b/>
                <w:bCs/>
                <w:szCs w:val="20"/>
              </w:rPr>
              <w:t xml:space="preserve">Délai </w:t>
            </w:r>
            <w:r w:rsidR="0054153D" w:rsidRPr="007D4742">
              <w:rPr>
                <w:rFonts w:cs="Arial"/>
                <w:b/>
                <w:bCs/>
                <w:szCs w:val="20"/>
              </w:rPr>
              <w:t xml:space="preserve">de </w:t>
            </w:r>
            <w:r w:rsidR="00221F7E">
              <w:rPr>
                <w:rFonts w:cs="Arial"/>
                <w:b/>
                <w:bCs/>
                <w:szCs w:val="20"/>
              </w:rPr>
              <w:t xml:space="preserve">livraison FCA </w:t>
            </w:r>
            <w:r w:rsidR="00295E56" w:rsidRPr="007D4742">
              <w:rPr>
                <w:rFonts w:cs="Arial"/>
                <w:b/>
                <w:bCs/>
                <w:szCs w:val="20"/>
              </w:rPr>
              <w:t>(</w:t>
            </w:r>
            <w:r w:rsidR="00E42515" w:rsidRPr="007D4742">
              <w:rPr>
                <w:rFonts w:cs="Arial"/>
                <w:b/>
                <w:bCs/>
                <w:szCs w:val="20"/>
              </w:rPr>
              <w:t>Semaines</w:t>
            </w:r>
            <w:r w:rsidR="00295E56" w:rsidRPr="007D4742">
              <w:rPr>
                <w:rFonts w:cs="Arial"/>
                <w:b/>
                <w:bCs/>
                <w:szCs w:val="20"/>
              </w:rPr>
              <w:t>)</w:t>
            </w:r>
          </w:p>
        </w:tc>
        <w:tc>
          <w:tcPr>
            <w:tcW w:w="1524" w:type="dxa"/>
            <w:tcBorders>
              <w:top w:val="single" w:sz="4" w:space="0" w:color="auto"/>
              <w:left w:val="nil"/>
              <w:bottom w:val="single" w:sz="4" w:space="0" w:color="auto"/>
              <w:right w:val="single" w:sz="4" w:space="0" w:color="auto"/>
            </w:tcBorders>
            <w:shd w:val="clear" w:color="auto" w:fill="C0C0C0"/>
            <w:noWrap/>
            <w:vAlign w:val="center"/>
          </w:tcPr>
          <w:p w:rsidR="00295E56" w:rsidRPr="007D4742" w:rsidRDefault="00E42515" w:rsidP="00E42515">
            <w:pPr>
              <w:jc w:val="center"/>
              <w:rPr>
                <w:rFonts w:cs="Arial"/>
                <w:b/>
                <w:bCs/>
                <w:szCs w:val="20"/>
              </w:rPr>
            </w:pPr>
            <w:r w:rsidRPr="007D4742">
              <w:rPr>
                <w:rFonts w:cs="Arial"/>
                <w:b/>
                <w:bCs/>
                <w:szCs w:val="20"/>
              </w:rPr>
              <w:t>Durée de conservation</w:t>
            </w:r>
            <w:r w:rsidR="00295E56" w:rsidRPr="007D4742">
              <w:rPr>
                <w:rFonts w:cs="Arial"/>
                <w:b/>
                <w:bCs/>
                <w:szCs w:val="20"/>
              </w:rPr>
              <w:t xml:space="preserve"> (</w:t>
            </w:r>
            <w:r w:rsidRPr="007D4742">
              <w:rPr>
                <w:rFonts w:cs="Arial"/>
                <w:b/>
                <w:bCs/>
                <w:szCs w:val="20"/>
              </w:rPr>
              <w:t>Mois</w:t>
            </w:r>
            <w:r w:rsidR="00295E56" w:rsidRPr="007D4742">
              <w:rPr>
                <w:rFonts w:cs="Arial"/>
                <w:b/>
                <w:bCs/>
                <w:szCs w:val="20"/>
              </w:rPr>
              <w:t>)</w:t>
            </w:r>
          </w:p>
        </w:tc>
        <w:tc>
          <w:tcPr>
            <w:tcW w:w="1276" w:type="dxa"/>
            <w:tcBorders>
              <w:top w:val="single" w:sz="4" w:space="0" w:color="auto"/>
              <w:left w:val="nil"/>
              <w:bottom w:val="single" w:sz="4" w:space="0" w:color="auto"/>
              <w:right w:val="single" w:sz="4" w:space="0" w:color="auto"/>
            </w:tcBorders>
            <w:shd w:val="clear" w:color="auto" w:fill="C0C0C0"/>
            <w:noWrap/>
            <w:vAlign w:val="center"/>
          </w:tcPr>
          <w:p w:rsidR="00295E56" w:rsidRPr="007D4742" w:rsidRDefault="00E42515" w:rsidP="00295E56">
            <w:pPr>
              <w:jc w:val="center"/>
              <w:rPr>
                <w:rFonts w:cs="Arial"/>
                <w:b/>
                <w:bCs/>
                <w:szCs w:val="20"/>
              </w:rPr>
            </w:pPr>
            <w:r w:rsidRPr="007D4742">
              <w:rPr>
                <w:rFonts w:cs="Arial"/>
                <w:b/>
                <w:bCs/>
                <w:szCs w:val="20"/>
              </w:rPr>
              <w:t>Pays d’origine</w:t>
            </w:r>
          </w:p>
        </w:tc>
      </w:tr>
      <w:tr w:rsidR="00295E56" w:rsidRPr="00C144CD" w:rsidTr="00D75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7D4742" w:rsidRDefault="00295E56" w:rsidP="00295E5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7D4742" w:rsidRDefault="00295E56" w:rsidP="00295E56">
            <w:pP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7D4742" w:rsidRDefault="00295E56" w:rsidP="00295E56">
            <w:pPr>
              <w:jc w:val="center"/>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7D4742" w:rsidRDefault="00295E56" w:rsidP="00295E56">
            <w:pPr>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7D4742" w:rsidRDefault="00295E56" w:rsidP="00295E56">
            <w:pPr>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7D4742" w:rsidRDefault="00295E56" w:rsidP="00295E56">
            <w:pPr>
              <w:jc w:val="center"/>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7D4742" w:rsidRDefault="00295E56" w:rsidP="00295E56">
            <w:pPr>
              <w:rPr>
                <w:rFonts w:ascii="Arial" w:hAnsi="Arial" w:cs="Arial"/>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7D4742" w:rsidRDefault="00295E56" w:rsidP="00295E56">
            <w:pPr>
              <w:rPr>
                <w:rFonts w:ascii="Arial" w:hAnsi="Arial" w:cs="Arial"/>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7D4742" w:rsidRDefault="00295E56" w:rsidP="00295E56">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7D4742" w:rsidRDefault="00295E56" w:rsidP="00295E56">
            <w:pPr>
              <w:rPr>
                <w:rFonts w:ascii="Arial" w:hAnsi="Arial" w:cs="Arial"/>
              </w:rPr>
            </w:pPr>
          </w:p>
        </w:tc>
      </w:tr>
      <w:tr w:rsidR="00295E56" w:rsidRPr="00C144CD" w:rsidTr="00D75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F30A74" w:rsidRDefault="00295E56" w:rsidP="00295E56">
            <w:pPr>
              <w:rPr>
                <w:rFonts w:ascii="Arial" w:hAnsi="Arial" w:cs="Arial"/>
                <w:lang w:val="en-GB"/>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r>
      <w:tr w:rsidR="00295E56" w:rsidRPr="00C144CD" w:rsidTr="00D75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55"/>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it-IT"/>
              </w:rPr>
            </w:pP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374BDC" w:rsidRDefault="00295E56" w:rsidP="00295E56">
            <w:pP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56" w:rsidRPr="00C144CD" w:rsidRDefault="00295E56" w:rsidP="00295E56">
            <w:pPr>
              <w:rPr>
                <w:rFonts w:ascii="Arial" w:hAnsi="Arial" w:cs="Arial"/>
                <w:lang w:val="en-GB"/>
              </w:rPr>
            </w:pPr>
          </w:p>
        </w:tc>
      </w:tr>
    </w:tbl>
    <w:p w:rsidR="00E42515" w:rsidRDefault="00E42515" w:rsidP="00295E56">
      <w:pPr>
        <w:rPr>
          <w:lang w:val="en-GB"/>
        </w:rPr>
        <w:sectPr w:rsidR="00E42515" w:rsidSect="004B476F">
          <w:pgSz w:w="16838" w:h="11906" w:orient="landscape"/>
          <w:pgMar w:top="1440" w:right="1440" w:bottom="1440" w:left="1440" w:header="708" w:footer="708" w:gutter="0"/>
          <w:cols w:space="708"/>
          <w:docGrid w:linePitch="360"/>
        </w:sectPr>
      </w:pPr>
    </w:p>
    <w:p w:rsidR="00E42515" w:rsidRDefault="00E42515" w:rsidP="00E42515">
      <w:pPr>
        <w:pStyle w:val="Heading1"/>
        <w:numPr>
          <w:ilvl w:val="0"/>
          <w:numId w:val="1"/>
        </w:numPr>
        <w:rPr>
          <w:lang w:val="en-GB"/>
        </w:rPr>
      </w:pPr>
      <w:bookmarkStart w:id="5" w:name="_Toc369859049"/>
      <w:r>
        <w:rPr>
          <w:lang w:val="en-GB"/>
        </w:rPr>
        <w:lastRenderedPageBreak/>
        <w:t>OBJECTIFS</w:t>
      </w:r>
      <w:bookmarkEnd w:id="5"/>
    </w:p>
    <w:p w:rsidR="00F34155" w:rsidRPr="00F34155" w:rsidRDefault="00F34155" w:rsidP="00F34155">
      <w:pPr>
        <w:rPr>
          <w:lang w:val="en-GB"/>
        </w:rPr>
      </w:pPr>
    </w:p>
    <w:p w:rsidR="00E42515" w:rsidRDefault="005747DA" w:rsidP="00F34155">
      <w:pPr>
        <w:rPr>
          <w:szCs w:val="20"/>
        </w:rPr>
      </w:pPr>
      <w:r>
        <w:rPr>
          <w:szCs w:val="20"/>
        </w:rPr>
        <w:t>Cet A</w:t>
      </w:r>
      <w:r w:rsidR="000E1116">
        <w:rPr>
          <w:szCs w:val="20"/>
        </w:rPr>
        <w:t xml:space="preserve">ccord à long-terme non </w:t>
      </w:r>
      <w:r w:rsidR="00E42515" w:rsidRPr="00E42515">
        <w:rPr>
          <w:szCs w:val="20"/>
        </w:rPr>
        <w:t>exclusif</w:t>
      </w:r>
      <w:r>
        <w:rPr>
          <w:szCs w:val="20"/>
        </w:rPr>
        <w:t xml:space="preserve"> (ci-après </w:t>
      </w:r>
      <w:r w:rsidR="00B72074">
        <w:rPr>
          <w:szCs w:val="20"/>
        </w:rPr>
        <w:t xml:space="preserve">dénommé </w:t>
      </w:r>
      <w:r>
        <w:rPr>
          <w:szCs w:val="20"/>
        </w:rPr>
        <w:t>« </w:t>
      </w:r>
      <w:r w:rsidR="00BE7FDC">
        <w:rPr>
          <w:szCs w:val="20"/>
        </w:rPr>
        <w:t>A</w:t>
      </w:r>
      <w:r w:rsidR="00E42515">
        <w:rPr>
          <w:szCs w:val="20"/>
        </w:rPr>
        <w:t xml:space="preserve">ccord ») est établi entre l’UNFPA et </w:t>
      </w:r>
      <w:r w:rsidR="00E42515" w:rsidRPr="00E42515">
        <w:rPr>
          <w:szCs w:val="20"/>
          <w:highlight w:val="yellow"/>
        </w:rPr>
        <w:t>[NOM DU FOURNISSEUR]</w:t>
      </w:r>
      <w:r w:rsidR="00BE7FDC">
        <w:rPr>
          <w:szCs w:val="20"/>
        </w:rPr>
        <w:t xml:space="preserve"> (ci-après </w:t>
      </w:r>
      <w:r w:rsidR="00B72074">
        <w:rPr>
          <w:szCs w:val="20"/>
        </w:rPr>
        <w:t xml:space="preserve">dénommé </w:t>
      </w:r>
      <w:r w:rsidR="00BE7FDC">
        <w:rPr>
          <w:szCs w:val="20"/>
        </w:rPr>
        <w:t>« le F</w:t>
      </w:r>
      <w:r w:rsidR="00E42515">
        <w:rPr>
          <w:szCs w:val="20"/>
        </w:rPr>
        <w:t xml:space="preserve">ournisseur »), pour permettre à l’UNFPA de s’approvisionner en </w:t>
      </w:r>
      <w:r w:rsidR="00E42515" w:rsidRPr="00E42515">
        <w:rPr>
          <w:szCs w:val="20"/>
          <w:highlight w:val="yellow"/>
        </w:rPr>
        <w:t>[NOM DU PRODUIT OU DU SERVICE]</w:t>
      </w:r>
      <w:r w:rsidR="00E42515">
        <w:rPr>
          <w:szCs w:val="20"/>
        </w:rPr>
        <w:t xml:space="preserve"> (ci-après </w:t>
      </w:r>
      <w:r w:rsidR="00B72074">
        <w:rPr>
          <w:szCs w:val="20"/>
        </w:rPr>
        <w:t xml:space="preserve">dénommé </w:t>
      </w:r>
      <w:r w:rsidR="00E42515" w:rsidRPr="00194812">
        <w:rPr>
          <w:szCs w:val="20"/>
        </w:rPr>
        <w:t>« </w:t>
      </w:r>
      <w:r w:rsidR="00BE7FDC">
        <w:rPr>
          <w:szCs w:val="20"/>
        </w:rPr>
        <w:t>les B</w:t>
      </w:r>
      <w:r w:rsidR="00194812">
        <w:rPr>
          <w:szCs w:val="20"/>
        </w:rPr>
        <w:t>iens</w:t>
      </w:r>
      <w:r w:rsidR="00E42515">
        <w:rPr>
          <w:szCs w:val="20"/>
        </w:rPr>
        <w:t xml:space="preserve"> ») en </w:t>
      </w:r>
      <w:r w:rsidR="00F34155">
        <w:rPr>
          <w:szCs w:val="20"/>
        </w:rPr>
        <w:t>fonction des besoins de ses différents programmes</w:t>
      </w:r>
      <w:r w:rsidR="00D75F40">
        <w:rPr>
          <w:szCs w:val="20"/>
        </w:rPr>
        <w:t xml:space="preserve"> ou</w:t>
      </w:r>
      <w:r w:rsidR="00F34155">
        <w:rPr>
          <w:szCs w:val="20"/>
        </w:rPr>
        <w:t xml:space="preserve"> de programmes financés par d’autres institutions.</w:t>
      </w:r>
    </w:p>
    <w:p w:rsidR="00F34155" w:rsidRDefault="00F34155" w:rsidP="00F34155">
      <w:pPr>
        <w:rPr>
          <w:szCs w:val="20"/>
        </w:rPr>
      </w:pPr>
    </w:p>
    <w:p w:rsidR="00F34155" w:rsidRDefault="00B72074" w:rsidP="00F34155">
      <w:pPr>
        <w:rPr>
          <w:szCs w:val="20"/>
        </w:rPr>
      </w:pPr>
      <w:r>
        <w:rPr>
          <w:szCs w:val="20"/>
        </w:rPr>
        <w:t>Dans le cadre de cet Accord, l</w:t>
      </w:r>
      <w:r w:rsidR="00BE7FDC">
        <w:rPr>
          <w:szCs w:val="20"/>
        </w:rPr>
        <w:t>e F</w:t>
      </w:r>
      <w:r w:rsidR="00F34155">
        <w:rPr>
          <w:szCs w:val="20"/>
        </w:rPr>
        <w:t xml:space="preserve">ournisseur </w:t>
      </w:r>
      <w:r>
        <w:rPr>
          <w:szCs w:val="20"/>
        </w:rPr>
        <w:t>n’est PAS autorisé à livrer des</w:t>
      </w:r>
      <w:r w:rsidR="00F34155">
        <w:rPr>
          <w:szCs w:val="20"/>
        </w:rPr>
        <w:t xml:space="preserve"> bien</w:t>
      </w:r>
      <w:r>
        <w:rPr>
          <w:szCs w:val="20"/>
        </w:rPr>
        <w:t>s</w:t>
      </w:r>
      <w:r w:rsidR="00F34155">
        <w:rPr>
          <w:szCs w:val="20"/>
        </w:rPr>
        <w:t xml:space="preserve"> ou </w:t>
      </w:r>
      <w:r>
        <w:rPr>
          <w:szCs w:val="20"/>
        </w:rPr>
        <w:t xml:space="preserve">prestations de </w:t>
      </w:r>
      <w:r w:rsidR="00F34155">
        <w:rPr>
          <w:szCs w:val="20"/>
        </w:rPr>
        <w:t>service aut</w:t>
      </w:r>
      <w:r w:rsidR="00606C5A">
        <w:rPr>
          <w:szCs w:val="20"/>
        </w:rPr>
        <w:t>res que ceux figurant dans cet A</w:t>
      </w:r>
      <w:r w:rsidR="00F34155">
        <w:rPr>
          <w:szCs w:val="20"/>
        </w:rPr>
        <w:t>ccord. Les demandes concernant des biens ou des services différents feront l’objet soit d’un autre accord à long-terme soit d’une autre méthode formelle de</w:t>
      </w:r>
      <w:r w:rsidR="00212E9F">
        <w:rPr>
          <w:szCs w:val="20"/>
        </w:rPr>
        <w:t xml:space="preserve"> consultation</w:t>
      </w:r>
      <w:r w:rsidR="00F34155">
        <w:rPr>
          <w:szCs w:val="20"/>
        </w:rPr>
        <w:t>.</w:t>
      </w:r>
    </w:p>
    <w:p w:rsidR="00F34155" w:rsidRDefault="00F34155" w:rsidP="00F34155">
      <w:pPr>
        <w:rPr>
          <w:szCs w:val="20"/>
        </w:rPr>
      </w:pPr>
    </w:p>
    <w:p w:rsidR="00F34155" w:rsidRDefault="00D75F40" w:rsidP="00F34155">
      <w:pPr>
        <w:pStyle w:val="Heading1"/>
        <w:numPr>
          <w:ilvl w:val="0"/>
          <w:numId w:val="1"/>
        </w:numPr>
      </w:pPr>
      <w:bookmarkStart w:id="6" w:name="_Toc369859050"/>
      <w:r>
        <w:t xml:space="preserve">DISPOSITIONS </w:t>
      </w:r>
      <w:r w:rsidR="00F34155">
        <w:t>GÉNÉRALES</w:t>
      </w:r>
      <w:bookmarkEnd w:id="6"/>
    </w:p>
    <w:p w:rsidR="00F34155" w:rsidRPr="00F34155" w:rsidRDefault="00F34155" w:rsidP="00F34155"/>
    <w:p w:rsidR="00F34155" w:rsidRDefault="00BE7FDC" w:rsidP="00F34155">
      <w:r>
        <w:t>Cet A</w:t>
      </w:r>
      <w:r w:rsidR="00747060">
        <w:t>ccord</w:t>
      </w:r>
      <w:r>
        <w:t xml:space="preserve"> représente une offre du F</w:t>
      </w:r>
      <w:r w:rsidR="00A65527">
        <w:t>ournisseur pour</w:t>
      </w:r>
      <w:r w:rsidR="00B72074">
        <w:t xml:space="preserve"> une prestation de</w:t>
      </w:r>
      <w:r w:rsidR="00212E9F">
        <w:t xml:space="preserve"> services </w:t>
      </w:r>
      <w:r w:rsidR="00B72074">
        <w:t>à</w:t>
      </w:r>
      <w:r w:rsidR="00A65527">
        <w:t xml:space="preserve"> l’UNFPA selon les prix et les délais de livraison prévus par les conditions </w:t>
      </w:r>
      <w:r w:rsidR="00212E9F">
        <w:t xml:space="preserve">générales </w:t>
      </w:r>
      <w:r w:rsidR="00A65527">
        <w:t>décrites dans le présent doc</w:t>
      </w:r>
      <w:r>
        <w:t>ument pour toute la durée de l’A</w:t>
      </w:r>
      <w:r w:rsidR="00A65527">
        <w:t xml:space="preserve">ccord. </w:t>
      </w:r>
      <w:r>
        <w:t>Cet A</w:t>
      </w:r>
      <w:r w:rsidR="00753864">
        <w:t>ccord ne constitue pas un contrat en lui-même, et n’oblige pas l’UNFPA à s’engager financièrement de quelque manière que ce soit. Seul</w:t>
      </w:r>
      <w:r w:rsidR="00845E61">
        <w:t>e</w:t>
      </w:r>
      <w:r w:rsidR="00753864">
        <w:t>s les commande</w:t>
      </w:r>
      <w:r w:rsidR="00B72074">
        <w:t>s passées</w:t>
      </w:r>
      <w:r>
        <w:t xml:space="preserve"> en conformité avec cet A</w:t>
      </w:r>
      <w:r w:rsidR="00753864">
        <w:t>ccord et concernant</w:t>
      </w:r>
      <w:r w:rsidR="00D75F40">
        <w:t xml:space="preserve"> uniquement</w:t>
      </w:r>
      <w:r>
        <w:t xml:space="preserve"> les Biens</w:t>
      </w:r>
      <w:r w:rsidR="00753864">
        <w:t xml:space="preserve"> </w:t>
      </w:r>
      <w:r w:rsidR="00B72074">
        <w:t xml:space="preserve">et services </w:t>
      </w:r>
      <w:r w:rsidR="00753864">
        <w:t>décrits ici constituent un engagement de la part de l’UNFPA.</w:t>
      </w:r>
    </w:p>
    <w:p w:rsidR="00753864" w:rsidRDefault="00753864" w:rsidP="00F34155"/>
    <w:p w:rsidR="00753864" w:rsidRDefault="000E1116" w:rsidP="00F34155">
      <w:r>
        <w:t>Les parties conviennent que la prestation de se</w:t>
      </w:r>
      <w:r w:rsidR="00D75F40">
        <w:t>rvices à l’UNFPA décrite dans le présent</w:t>
      </w:r>
      <w:r>
        <w:t xml:space="preserve"> document se fait sur une base strictement non exclusive.</w:t>
      </w:r>
      <w:r w:rsidR="00194812">
        <w:t xml:space="preserve"> En conséquence, les parties conviennent que l’UNFPA se réserve le droit de se procurer ou d’obtenir </w:t>
      </w:r>
      <w:r w:rsidR="00BE7FDC">
        <w:t>des biens et des services de nature similaire à ceux décrits ici auprès de tout</w:t>
      </w:r>
      <w:r w:rsidR="004B16CA">
        <w:t>e</w:t>
      </w:r>
      <w:r w:rsidR="00BE7FDC">
        <w:t xml:space="preserve"> autre source et </w:t>
      </w:r>
      <w:r w:rsidR="00BE7FDC" w:rsidRPr="00BE7FDC">
        <w:t>à n’importe quel</w:t>
      </w:r>
      <w:r w:rsidR="00BE7FDC">
        <w:t xml:space="preserve"> moment durant la période de l’</w:t>
      </w:r>
      <w:r w:rsidR="00B72074">
        <w:t>A</w:t>
      </w:r>
      <w:r w:rsidR="00BE7FDC">
        <w:t>ccord. De même, les parties reconn</w:t>
      </w:r>
      <w:r w:rsidR="00803A89">
        <w:t>aissent et conviennent que cet A</w:t>
      </w:r>
      <w:r w:rsidR="00BE7FDC">
        <w:t>ccord n’engage pas la responsabilité de l’UNFPA à l’égard du Fournisseur, et que la responsabilité de l’UNFPA n’est engagée que lorsqu’un</w:t>
      </w:r>
      <w:r w:rsidR="00B72074">
        <w:t>e</w:t>
      </w:r>
      <w:r w:rsidR="00BE7FDC">
        <w:t xml:space="preserve"> commande est </w:t>
      </w:r>
      <w:r w:rsidR="00B72074">
        <w:t xml:space="preserve">passée </w:t>
      </w:r>
      <w:r w:rsidR="00BE7FDC">
        <w:t>en conformité avec cet Accord.</w:t>
      </w:r>
    </w:p>
    <w:p w:rsidR="00BE7FDC" w:rsidRDefault="00BE7FDC" w:rsidP="00F34155"/>
    <w:p w:rsidR="00BE7FDC" w:rsidRDefault="00326D7A" w:rsidP="00326D7A">
      <w:r>
        <w:t>La responsabilité de l’UNFPA est limitée aux bons de commande concernant uniquement les bien</w:t>
      </w:r>
      <w:r w:rsidR="004B16CA">
        <w:t xml:space="preserve">s et les services mentionnés </w:t>
      </w:r>
      <w:r w:rsidR="00733001">
        <w:t>dans cet Accord</w:t>
      </w:r>
      <w:r>
        <w:t>, et aucune</w:t>
      </w:r>
      <w:r w:rsidR="00803A89">
        <w:t xml:space="preserve"> extension</w:t>
      </w:r>
      <w:r>
        <w:t xml:space="preserve"> de la responsabilité de l’UNFPA ou </w:t>
      </w:r>
      <w:r w:rsidR="00803A89">
        <w:t xml:space="preserve">augmentation </w:t>
      </w:r>
      <w:r>
        <w:t>du prix des biens ne sera autorisée ou payée au Fournisseur, à moins qu’une telle augmentation n’ait été approuvée par l’UNFPA avant la livraison des biens ou des services.</w:t>
      </w:r>
    </w:p>
    <w:p w:rsidR="00326D7A" w:rsidRDefault="00326D7A" w:rsidP="00326D7A"/>
    <w:p w:rsidR="00326D7A" w:rsidRDefault="00326D7A" w:rsidP="00326D7A">
      <w:r>
        <w:t>Les bons de commande incluront des références</w:t>
      </w:r>
      <w:r w:rsidR="001F2C4A">
        <w:t xml:space="preserve"> à toutes les conditions </w:t>
      </w:r>
      <w:r w:rsidR="00D32D61">
        <w:t xml:space="preserve">générales </w:t>
      </w:r>
      <w:r w:rsidR="00D75F40">
        <w:t>de cet Accord, y compris aux C</w:t>
      </w:r>
      <w:r w:rsidR="001F2C4A">
        <w:t xml:space="preserve">onditions générales de l’UNFPA jointes au présent document et formant </w:t>
      </w:r>
      <w:r w:rsidR="00803A89">
        <w:t xml:space="preserve">une </w:t>
      </w:r>
      <w:r w:rsidR="004B16CA">
        <w:t xml:space="preserve">section </w:t>
      </w:r>
      <w:r w:rsidR="001F2C4A">
        <w:t>de cet Accord.</w:t>
      </w:r>
    </w:p>
    <w:p w:rsidR="001F2C4A" w:rsidRDefault="001F2C4A" w:rsidP="00326D7A"/>
    <w:p w:rsidR="001F2C4A" w:rsidRDefault="001F2C4A" w:rsidP="00326D7A">
      <w:r>
        <w:t>L’UNFPA n’est pas obligé de se procurer une quantité min</w:t>
      </w:r>
      <w:r w:rsidR="004B16CA">
        <w:t>imum de biens ou de services en vertu de</w:t>
      </w:r>
      <w:r>
        <w:t xml:space="preserve"> cet Accord.</w:t>
      </w:r>
    </w:p>
    <w:p w:rsidR="001F2C4A" w:rsidRDefault="001F2C4A" w:rsidP="00326D7A"/>
    <w:p w:rsidR="001F2C4A" w:rsidRDefault="001F2C4A" w:rsidP="00326D7A">
      <w:r>
        <w:t>Tout changement des clauses et des conditions détaillées ici doit recevoir l’</w:t>
      </w:r>
      <w:r w:rsidR="004B16CA">
        <w:t>approbation</w:t>
      </w:r>
      <w:r>
        <w:t xml:space="preserve"> préalable de l’UNFPA et doit être documenté</w:t>
      </w:r>
      <w:r w:rsidR="00803A89">
        <w:t xml:space="preserve"> par</w:t>
      </w:r>
      <w:r>
        <w:t xml:space="preserve"> un amendement écrit.</w:t>
      </w:r>
    </w:p>
    <w:p w:rsidR="00D75F40" w:rsidRDefault="00D75F40" w:rsidP="00326D7A"/>
    <w:p w:rsidR="00D75F40" w:rsidRDefault="00D75F40" w:rsidP="00326D7A">
      <w:r>
        <w:t>Tout article envoyé sans respecter les conditions de cet Accord ou du bon de commande, et sans que l’UNFPA n’en ait été averti et n’ait accepté l’envoi, devra être remplacé aux frais du Fournisseur, ce qui inclut les frais de transport, de réinspection, de rappel et de destruction.</w:t>
      </w:r>
    </w:p>
    <w:p w:rsidR="00D75F40" w:rsidRDefault="00D75F40" w:rsidP="00326D7A"/>
    <w:p w:rsidR="00D75F40" w:rsidRDefault="00D75F40" w:rsidP="00326D7A">
      <w:r>
        <w:t>Si une réévaluation des Biens est nécessaire, il pourra être demandé au Fournisseur d’en régler les frais.</w:t>
      </w:r>
    </w:p>
    <w:p w:rsidR="001F2C4A" w:rsidRDefault="001F2C4A" w:rsidP="00326D7A"/>
    <w:p w:rsidR="006041B4" w:rsidRDefault="00DB7C91" w:rsidP="00326D7A">
      <w:r>
        <w:t>Les parties doivent s’</w:t>
      </w:r>
      <w:r w:rsidR="006041B4">
        <w:t>efforcer d’</w:t>
      </w:r>
      <w:r>
        <w:t>exécuter cet Accord dans un esprit de coopération mutuelle.</w:t>
      </w:r>
    </w:p>
    <w:p w:rsidR="001F2C4A" w:rsidRDefault="00DD2481" w:rsidP="00106315">
      <w:pPr>
        <w:pStyle w:val="Heading1"/>
        <w:numPr>
          <w:ilvl w:val="0"/>
          <w:numId w:val="1"/>
        </w:numPr>
        <w:ind w:left="0" w:firstLine="360"/>
      </w:pPr>
      <w:bookmarkStart w:id="7" w:name="_Toc369859051"/>
      <w:r>
        <w:lastRenderedPageBreak/>
        <w:t>VALIDIT</w:t>
      </w:r>
      <w:r w:rsidR="00C17B91">
        <w:t>É</w:t>
      </w:r>
      <w:r>
        <w:t xml:space="preserve"> DE L’ACCORD</w:t>
      </w:r>
      <w:bookmarkEnd w:id="7"/>
    </w:p>
    <w:p w:rsidR="006041B4" w:rsidRDefault="006041B4" w:rsidP="006041B4"/>
    <w:p w:rsidR="006041B4" w:rsidRDefault="004B16CA" w:rsidP="006041B4">
      <w:r>
        <w:t>Cet Accord entre</w:t>
      </w:r>
      <w:r w:rsidR="00845E61">
        <w:t>ra</w:t>
      </w:r>
      <w:r w:rsidR="006041B4">
        <w:t xml:space="preserve"> en vigueur le </w:t>
      </w:r>
      <w:r w:rsidR="006041B4" w:rsidRPr="006041B4">
        <w:rPr>
          <w:b/>
          <w:i/>
          <w:highlight w:val="yellow"/>
        </w:rPr>
        <w:t>[JJ/MM/AAAA]</w:t>
      </w:r>
      <w:r w:rsidR="006041B4" w:rsidRPr="006041B4">
        <w:rPr>
          <w:highlight w:val="yellow"/>
        </w:rPr>
        <w:t>.</w:t>
      </w:r>
    </w:p>
    <w:p w:rsidR="006041B4" w:rsidRDefault="006041B4" w:rsidP="006041B4"/>
    <w:p w:rsidR="006041B4" w:rsidRDefault="00845E61" w:rsidP="006041B4">
      <w:pPr>
        <w:rPr>
          <w:i/>
        </w:rPr>
      </w:pPr>
      <w:r>
        <w:t>Cet Accord est</w:t>
      </w:r>
      <w:r w:rsidR="006041B4">
        <w:t xml:space="preserve"> valide pour une durée de </w:t>
      </w:r>
      <w:r w:rsidR="006041B4" w:rsidRPr="006041B4">
        <w:rPr>
          <w:b/>
          <w:i/>
          <w:highlight w:val="yellow"/>
        </w:rPr>
        <w:t>[NOMBRE D’ANNÉES]</w:t>
      </w:r>
      <w:r w:rsidR="006041B4">
        <w:t xml:space="preserve"> à partir de la date </w:t>
      </w:r>
      <w:r w:rsidR="006041B4" w:rsidRPr="00845E61">
        <w:t>d’entr</w:t>
      </w:r>
      <w:r w:rsidR="006041B4" w:rsidRPr="00845E61">
        <w:rPr>
          <w:rFonts w:cs="Mangal"/>
        </w:rPr>
        <w:t>ée en vigueur</w:t>
      </w:r>
      <w:r w:rsidR="006041B4">
        <w:rPr>
          <w:rFonts w:ascii="Mangal" w:hAnsi="Mangal" w:cs="Mangal"/>
        </w:rPr>
        <w:t xml:space="preserve"> </w:t>
      </w:r>
      <w:r w:rsidR="006041B4" w:rsidRPr="006041B4">
        <w:rPr>
          <w:b/>
          <w:i/>
          <w:highlight w:val="yellow"/>
        </w:rPr>
        <w:t>[JJ/MM/AAAA]</w:t>
      </w:r>
      <w:r w:rsidR="006041B4">
        <w:t xml:space="preserve"> et p</w:t>
      </w:r>
      <w:r w:rsidR="00106315">
        <w:t>ourra</w:t>
      </w:r>
      <w:r w:rsidR="006041B4">
        <w:t xml:space="preserve"> être</w:t>
      </w:r>
      <w:r w:rsidR="00D54480">
        <w:t xml:space="preserve"> prorogé</w:t>
      </w:r>
      <w:r w:rsidR="006041B4">
        <w:t xml:space="preserve"> d’une année supplémentaire selon la performance et la compétitivité du Fournisseur. Les parties devront se mettre d’accord sur ce point </w:t>
      </w:r>
      <w:r w:rsidR="00DD2481">
        <w:t xml:space="preserve">par écrit au moins trente jours avant l’expiration de l’Accord. </w:t>
      </w:r>
      <w:r w:rsidR="00DD2481" w:rsidRPr="00DD2481">
        <w:rPr>
          <w:i/>
          <w:highlight w:val="yellow"/>
        </w:rPr>
        <w:t>[SÉLECTIONNER ET SUPPRIMER SELON LE CAS]</w:t>
      </w:r>
    </w:p>
    <w:p w:rsidR="00DD2481" w:rsidRDefault="00DD2481" w:rsidP="006041B4">
      <w:pPr>
        <w:rPr>
          <w:i/>
        </w:rPr>
      </w:pPr>
    </w:p>
    <w:p w:rsidR="00DD2481" w:rsidRDefault="00DD2481" w:rsidP="006041B4">
      <w:r>
        <w:t>L’UNFPA se réserve le droit de</w:t>
      </w:r>
      <w:r w:rsidR="000714F0">
        <w:t xml:space="preserve"> résilier</w:t>
      </w:r>
      <w:r>
        <w:t xml:space="preserve"> cet Accord si les performances du Fournisseur </w:t>
      </w:r>
      <w:r w:rsidR="00803A89">
        <w:t xml:space="preserve">ne sont </w:t>
      </w:r>
      <w:r w:rsidR="000714F0">
        <w:t xml:space="preserve">pas </w:t>
      </w:r>
      <w:r>
        <w:t>satisfaisantes.</w:t>
      </w:r>
    </w:p>
    <w:p w:rsidR="00DD2481" w:rsidRDefault="00DD2481" w:rsidP="006041B4"/>
    <w:p w:rsidR="00DD2481" w:rsidRDefault="00DD2481" w:rsidP="00DD2481">
      <w:pPr>
        <w:pStyle w:val="Heading1"/>
        <w:numPr>
          <w:ilvl w:val="0"/>
          <w:numId w:val="1"/>
        </w:numPr>
      </w:pPr>
      <w:bookmarkStart w:id="8" w:name="_Toc369859052"/>
      <w:r>
        <w:t>BIENS</w:t>
      </w:r>
      <w:r w:rsidR="00B72074">
        <w:t xml:space="preserve"> ET PRESTATIONS DE SERVICES RELATIFS À</w:t>
      </w:r>
      <w:r>
        <w:t> </w:t>
      </w:r>
      <w:r w:rsidR="00B72074">
        <w:t xml:space="preserve">CET </w:t>
      </w:r>
      <w:r>
        <w:t>ACCORD</w:t>
      </w:r>
      <w:bookmarkEnd w:id="8"/>
    </w:p>
    <w:p w:rsidR="00DD2481" w:rsidRDefault="00DD2481" w:rsidP="00DD2481"/>
    <w:p w:rsidR="00DD2481" w:rsidRDefault="00DD2481" w:rsidP="00DD2481">
      <w:pPr>
        <w:rPr>
          <w:b/>
          <w:i/>
        </w:rPr>
      </w:pPr>
      <w:r w:rsidRPr="00DD2481">
        <w:rPr>
          <w:b/>
          <w:i/>
          <w:highlight w:val="yellow"/>
        </w:rPr>
        <w:t>[DÉCRIRE LE PRODUIT OU LE SERVICE CONCERNÉ PAR CET ACCORD, OU SUPPRIME</w:t>
      </w:r>
      <w:r w:rsidR="000225DF">
        <w:rPr>
          <w:b/>
          <w:i/>
          <w:highlight w:val="yellow"/>
        </w:rPr>
        <w:t>R</w:t>
      </w:r>
      <w:r w:rsidRPr="00DD2481">
        <w:rPr>
          <w:b/>
          <w:i/>
          <w:highlight w:val="yellow"/>
        </w:rPr>
        <w:t xml:space="preserve"> CETTE PARTIE SI NÉCESSAIRE]</w:t>
      </w:r>
    </w:p>
    <w:p w:rsidR="00DD2481" w:rsidRDefault="00DD2481" w:rsidP="00DD2481">
      <w:pPr>
        <w:rPr>
          <w:b/>
          <w:i/>
        </w:rPr>
      </w:pPr>
    </w:p>
    <w:p w:rsidR="00DD2481" w:rsidRDefault="00DD2481" w:rsidP="00DD2481">
      <w:pPr>
        <w:pStyle w:val="Heading1"/>
        <w:numPr>
          <w:ilvl w:val="0"/>
          <w:numId w:val="1"/>
        </w:numPr>
      </w:pPr>
      <w:bookmarkStart w:id="9" w:name="_Toc369859053"/>
      <w:r>
        <w:t>DOCUMENTS RELATIFS À L’ACCORD</w:t>
      </w:r>
      <w:bookmarkEnd w:id="9"/>
    </w:p>
    <w:p w:rsidR="00DD2481" w:rsidRDefault="00DD2481" w:rsidP="00DD2481"/>
    <w:p w:rsidR="00DD2481" w:rsidRPr="00122CBA" w:rsidRDefault="00122CBA" w:rsidP="00DD2481">
      <w:pPr>
        <w:rPr>
          <w:bCs/>
        </w:rPr>
      </w:pPr>
      <w:r w:rsidRPr="00122CBA">
        <w:t xml:space="preserve">Les </w:t>
      </w:r>
      <w:r w:rsidR="00106315">
        <w:rPr>
          <w:bCs/>
        </w:rPr>
        <w:t>C</w:t>
      </w:r>
      <w:r w:rsidRPr="00122CBA">
        <w:rPr>
          <w:bCs/>
        </w:rPr>
        <w:t>onditions générales</w:t>
      </w:r>
      <w:r w:rsidR="00941EAD">
        <w:rPr>
          <w:bCs/>
        </w:rPr>
        <w:t xml:space="preserve"> de l’UNFPA applicables</w:t>
      </w:r>
      <w:r w:rsidRPr="00122CBA">
        <w:rPr>
          <w:bCs/>
        </w:rPr>
        <w:t xml:space="preserve"> aux contrats s’appliquent à cet Accord et aux bons de commande émis </w:t>
      </w:r>
      <w:r w:rsidR="000714F0">
        <w:rPr>
          <w:bCs/>
        </w:rPr>
        <w:t xml:space="preserve">ultérieurement et </w:t>
      </w:r>
      <w:r w:rsidRPr="00122CBA">
        <w:rPr>
          <w:bCs/>
        </w:rPr>
        <w:t>con</w:t>
      </w:r>
      <w:r w:rsidR="00E06150">
        <w:rPr>
          <w:bCs/>
        </w:rPr>
        <w:t xml:space="preserve">formément aux clauses établies </w:t>
      </w:r>
      <w:r w:rsidRPr="00122CBA">
        <w:rPr>
          <w:bCs/>
        </w:rPr>
        <w:t>ci</w:t>
      </w:r>
      <w:r w:rsidR="00E06150">
        <w:rPr>
          <w:bCs/>
        </w:rPr>
        <w:t>-après</w:t>
      </w:r>
      <w:r w:rsidRPr="00122CBA">
        <w:rPr>
          <w:bCs/>
        </w:rPr>
        <w:t>.</w:t>
      </w:r>
    </w:p>
    <w:p w:rsidR="00122CBA" w:rsidRPr="0068047E" w:rsidRDefault="00122CBA" w:rsidP="00DD2481">
      <w:pPr>
        <w:rPr>
          <w:bCs/>
        </w:rPr>
      </w:pPr>
    </w:p>
    <w:p w:rsidR="00122CBA" w:rsidRDefault="00941EAD" w:rsidP="00DD2481">
      <w:r>
        <w:t>Le Fournisseur et</w:t>
      </w:r>
      <w:r w:rsidR="00DD19EB">
        <w:t xml:space="preserve"> l’UNFPA conviennent d’être lié</w:t>
      </w:r>
      <w:r>
        <w:t>s par les provisions de cet Accord, ainsi que par les documents suivant, joints en annexe :</w:t>
      </w:r>
    </w:p>
    <w:p w:rsidR="00941EAD" w:rsidRDefault="00941EAD" w:rsidP="00DD2481"/>
    <w:p w:rsidR="00941EAD" w:rsidRDefault="00941EAD" w:rsidP="00941EAD">
      <w:pPr>
        <w:pStyle w:val="ListParagraph"/>
        <w:numPr>
          <w:ilvl w:val="0"/>
          <w:numId w:val="2"/>
        </w:numPr>
      </w:pPr>
      <w:r>
        <w:t xml:space="preserve">Annexe </w:t>
      </w:r>
      <w:r w:rsidR="003E72CF">
        <w:t>I</w:t>
      </w:r>
      <w:r>
        <w:t xml:space="preserve"> - </w:t>
      </w:r>
      <w:r w:rsidR="00E06150">
        <w:t>Conditions générales de l’</w:t>
      </w:r>
      <w:r w:rsidR="000714F0">
        <w:t>UNFPA</w:t>
      </w:r>
      <w:r w:rsidR="00E06150">
        <w:t xml:space="preserve"> applicables aux contrats relatifs à la fourniture de biens et de services</w:t>
      </w:r>
    </w:p>
    <w:p w:rsidR="003E72CF" w:rsidRPr="003E72CF" w:rsidRDefault="003E72CF" w:rsidP="00941EAD">
      <w:pPr>
        <w:pStyle w:val="ListParagraph"/>
        <w:numPr>
          <w:ilvl w:val="0"/>
          <w:numId w:val="2"/>
        </w:numPr>
      </w:pPr>
      <w:r>
        <w:t>Annexe II – [</w:t>
      </w:r>
      <w:r w:rsidRPr="003E72CF">
        <w:t xml:space="preserve">réf. </w:t>
      </w:r>
      <w:r w:rsidRPr="003E72CF">
        <w:rPr>
          <w:i/>
          <w:highlight w:val="yellow"/>
        </w:rPr>
        <w:t>INDIQUER LE NUMÉRO DU DOSSIER D’APPEL D’OFFRES]</w:t>
      </w:r>
    </w:p>
    <w:p w:rsidR="003E72CF" w:rsidRDefault="003E72CF" w:rsidP="00941EAD">
      <w:pPr>
        <w:pStyle w:val="ListParagraph"/>
        <w:numPr>
          <w:ilvl w:val="0"/>
          <w:numId w:val="2"/>
        </w:numPr>
      </w:pPr>
      <w:r>
        <w:t>Annexe III – Liste des produits et des prix de l’Accord à Long-terme</w:t>
      </w:r>
    </w:p>
    <w:p w:rsidR="003E72CF" w:rsidRDefault="003E72CF" w:rsidP="00941EAD">
      <w:pPr>
        <w:pStyle w:val="ListParagraph"/>
        <w:numPr>
          <w:ilvl w:val="0"/>
          <w:numId w:val="2"/>
        </w:numPr>
      </w:pPr>
      <w:r>
        <w:t>Annexe IV – Taux de change de l’ONU</w:t>
      </w:r>
      <w:r w:rsidR="000714F0">
        <w:t xml:space="preserve"> en</w:t>
      </w:r>
      <w:r>
        <w:t xml:space="preserve"> janvier 2012</w:t>
      </w:r>
    </w:p>
    <w:p w:rsidR="003E72CF" w:rsidRDefault="003E72CF" w:rsidP="00941EAD">
      <w:pPr>
        <w:pStyle w:val="ListParagraph"/>
        <w:numPr>
          <w:ilvl w:val="0"/>
          <w:numId w:val="2"/>
        </w:numPr>
      </w:pPr>
      <w:r>
        <w:t>La soumission du Fournisseur</w:t>
      </w:r>
      <w:r w:rsidR="00B72074">
        <w:t xml:space="preserve"> en réponse</w:t>
      </w:r>
      <w:r>
        <w:t xml:space="preserve"> à l’appel d’offres [</w:t>
      </w:r>
      <w:r w:rsidRPr="003E72CF">
        <w:t xml:space="preserve">réf. </w:t>
      </w:r>
      <w:r w:rsidRPr="003E72CF">
        <w:rPr>
          <w:i/>
          <w:highlight w:val="yellow"/>
        </w:rPr>
        <w:t>INDIQUER LE NUMÉRO DU DOSSIER D’APPEL D’OFFRES]</w:t>
      </w:r>
      <w:r>
        <w:t xml:space="preserve">, </w:t>
      </w:r>
      <w:r w:rsidR="002A395A">
        <w:t>ci-inclus</w:t>
      </w:r>
      <w:r>
        <w:t xml:space="preserve"> par cette référence</w:t>
      </w:r>
    </w:p>
    <w:p w:rsidR="003E72CF" w:rsidRDefault="003E72CF" w:rsidP="00941EAD">
      <w:pPr>
        <w:pStyle w:val="ListParagraph"/>
        <w:numPr>
          <w:ilvl w:val="0"/>
          <w:numId w:val="2"/>
        </w:numPr>
        <w:rPr>
          <w:highlight w:val="yellow"/>
        </w:rPr>
      </w:pPr>
      <w:r w:rsidRPr="003E72CF">
        <w:rPr>
          <w:highlight w:val="yellow"/>
        </w:rPr>
        <w:t>[Tout autre document devant être mentionné ici si nécessaire]</w:t>
      </w:r>
    </w:p>
    <w:p w:rsidR="003E72CF" w:rsidRDefault="003E72CF" w:rsidP="003E72CF">
      <w:pPr>
        <w:rPr>
          <w:highlight w:val="yellow"/>
        </w:rPr>
      </w:pPr>
    </w:p>
    <w:p w:rsidR="003E72CF" w:rsidRDefault="003E72CF" w:rsidP="003E72CF">
      <w:r w:rsidRPr="003E72CF">
        <w:t>Cet Accord</w:t>
      </w:r>
      <w:r>
        <w:t xml:space="preserve"> et ses Annexes constituent l’ensemble de la convention</w:t>
      </w:r>
      <w:r w:rsidR="000714F0">
        <w:t xml:space="preserve"> conclue par et</w:t>
      </w:r>
      <w:r>
        <w:t xml:space="preserve"> entre les parties </w:t>
      </w:r>
      <w:r w:rsidR="00C113B0">
        <w:t>concernant</w:t>
      </w:r>
      <w:r w:rsidR="008513F3">
        <w:t xml:space="preserve"> </w:t>
      </w:r>
      <w:r w:rsidR="002A395A">
        <w:t>l’objet</w:t>
      </w:r>
      <w:r w:rsidR="00F2028A">
        <w:t xml:space="preserve"> pr</w:t>
      </w:r>
      <w:r w:rsidR="002A395A">
        <w:t>incipal</w:t>
      </w:r>
      <w:r w:rsidR="00F2028A">
        <w:t xml:space="preserve"> de l’Accord</w:t>
      </w:r>
      <w:r w:rsidR="00C113B0">
        <w:t>,</w:t>
      </w:r>
      <w:r w:rsidR="00F2028A">
        <w:t xml:space="preserve"> et remplace toute représentation, négociation ou accord</w:t>
      </w:r>
      <w:r w:rsidR="00803A89">
        <w:t>,</w:t>
      </w:r>
      <w:r w:rsidR="00F2028A">
        <w:t xml:space="preserve"> </w:t>
      </w:r>
      <w:r w:rsidR="00C113B0">
        <w:t>présents ou passés.</w:t>
      </w:r>
    </w:p>
    <w:p w:rsidR="00D71EC3" w:rsidRDefault="00D71EC3" w:rsidP="003E72CF"/>
    <w:p w:rsidR="00D71EC3" w:rsidRDefault="000845DC" w:rsidP="00D71EC3">
      <w:pPr>
        <w:pStyle w:val="Heading1"/>
        <w:numPr>
          <w:ilvl w:val="0"/>
          <w:numId w:val="1"/>
        </w:numPr>
      </w:pPr>
      <w:bookmarkStart w:id="10" w:name="_Toc369859054"/>
      <w:r>
        <w:t>PRIX ET REMISES</w:t>
      </w:r>
      <w:bookmarkEnd w:id="10"/>
    </w:p>
    <w:p w:rsidR="000845DC" w:rsidRDefault="000845DC" w:rsidP="000845DC"/>
    <w:p w:rsidR="000845DC" w:rsidRDefault="000845DC" w:rsidP="000845DC">
      <w:r>
        <w:t>Tous les prix sont</w:t>
      </w:r>
      <w:r w:rsidR="000A6894">
        <w:t xml:space="preserve"> exprimés</w:t>
      </w:r>
      <w:r>
        <w:t xml:space="preserve"> en [</w:t>
      </w:r>
      <w:r w:rsidRPr="000845DC">
        <w:rPr>
          <w:i/>
          <w:highlight w:val="yellow"/>
        </w:rPr>
        <w:t>DEVISE</w:t>
      </w:r>
      <w:r w:rsidR="000A6894">
        <w:t>]. Le Fournisseur devra</w:t>
      </w:r>
      <w:r w:rsidR="002A395A">
        <w:t xml:space="preserve"> </w:t>
      </w:r>
      <w:r w:rsidR="00C113B0">
        <w:t>maintenir</w:t>
      </w:r>
      <w:r>
        <w:t xml:space="preserve"> des prix fixes tout au long de la durée de cet Accord, y compris durant </w:t>
      </w:r>
      <w:r w:rsidR="00D54480">
        <w:t>s</w:t>
      </w:r>
      <w:r>
        <w:t>a</w:t>
      </w:r>
      <w:r w:rsidR="00D54480">
        <w:t xml:space="preserve"> période de</w:t>
      </w:r>
      <w:r>
        <w:t xml:space="preserve"> </w:t>
      </w:r>
      <w:r w:rsidR="008C5728">
        <w:t>prorogation</w:t>
      </w:r>
      <w:r>
        <w:t>. Tout ajustement ou révision d</w:t>
      </w:r>
      <w:r w:rsidR="000A6894">
        <w:t>evra</w:t>
      </w:r>
      <w:r>
        <w:t xml:space="preserve"> être</w:t>
      </w:r>
      <w:r w:rsidR="00C113B0">
        <w:t xml:space="preserve"> convenu</w:t>
      </w:r>
      <w:r>
        <w:t xml:space="preserve"> par les deux parties.</w:t>
      </w:r>
    </w:p>
    <w:p w:rsidR="002B0374" w:rsidRDefault="002B0374" w:rsidP="000845DC"/>
    <w:p w:rsidR="002B0374" w:rsidRDefault="00C279EF" w:rsidP="000845DC">
      <w:r>
        <w:t>Tous les prix</w:t>
      </w:r>
      <w:r w:rsidR="002B4450">
        <w:t xml:space="preserve"> de cet Accord sont mentionnés </w:t>
      </w:r>
      <w:r w:rsidR="002B4450" w:rsidRPr="002B4450">
        <w:rPr>
          <w:i/>
          <w:highlight w:val="yellow"/>
        </w:rPr>
        <w:t>[NOM FCA DU PORT/DE L’AÉROPORT, VILLE, PAYS]</w:t>
      </w:r>
      <w:r w:rsidR="002B4450">
        <w:rPr>
          <w:i/>
        </w:rPr>
        <w:t xml:space="preserve"> </w:t>
      </w:r>
      <w:r w:rsidR="002B4450" w:rsidRPr="002B4450">
        <w:t>INCOTERMS 2010</w:t>
      </w:r>
      <w:r w:rsidR="002B4450">
        <w:rPr>
          <w:i/>
        </w:rPr>
        <w:t xml:space="preserve"> </w:t>
      </w:r>
      <w:r w:rsidR="002B4450">
        <w:t xml:space="preserve">(emballage à l’exportation pour fret aérien/maritime inclus). </w:t>
      </w:r>
      <w:r w:rsidR="002B4450" w:rsidRPr="002B4450">
        <w:rPr>
          <w:highlight w:val="yellow"/>
        </w:rPr>
        <w:t xml:space="preserve">[SUPPRIMER </w:t>
      </w:r>
      <w:r w:rsidR="0036529A">
        <w:rPr>
          <w:highlight w:val="yellow"/>
        </w:rPr>
        <w:t>SELON LE CAS</w:t>
      </w:r>
      <w:r w:rsidR="002B4450" w:rsidRPr="002B4450">
        <w:rPr>
          <w:highlight w:val="yellow"/>
        </w:rPr>
        <w:t>]</w:t>
      </w:r>
    </w:p>
    <w:p w:rsidR="002B4450" w:rsidRDefault="002B4450" w:rsidP="000845DC"/>
    <w:p w:rsidR="002B4450" w:rsidRDefault="00106315" w:rsidP="000845DC">
      <w:r>
        <w:t>Les changements de prix de l’Accord</w:t>
      </w:r>
      <w:r w:rsidR="002B4450">
        <w:t xml:space="preserve"> et les remises générales ne doivent être effectués qu’après accord et être basés sur un amendement écrit signé par les deux parties.</w:t>
      </w:r>
    </w:p>
    <w:p w:rsidR="002B4450" w:rsidRDefault="002B4450" w:rsidP="000845DC"/>
    <w:p w:rsidR="009C434E" w:rsidRDefault="009C434E" w:rsidP="000845DC">
      <w:r>
        <w:t xml:space="preserve">Le Fournisseur est </w:t>
      </w:r>
      <w:r w:rsidR="000A6894">
        <w:t xml:space="preserve">tenu </w:t>
      </w:r>
      <w:r>
        <w:t xml:space="preserve">d’appliquer </w:t>
      </w:r>
      <w:r w:rsidR="00106315">
        <w:t xml:space="preserve">aux </w:t>
      </w:r>
      <w:r>
        <w:t>bon</w:t>
      </w:r>
      <w:r w:rsidR="00106315">
        <w:t>s</w:t>
      </w:r>
      <w:r>
        <w:t xml:space="preserve"> de commande émis </w:t>
      </w:r>
      <w:r w:rsidR="000A6894">
        <w:t xml:space="preserve">dans le cadre de </w:t>
      </w:r>
      <w:r>
        <w:t xml:space="preserve">cet Accord toute offre spéciale ou remise </w:t>
      </w:r>
      <w:r w:rsidR="00845E61">
        <w:t>de prix</w:t>
      </w:r>
      <w:r w:rsidR="000A6894">
        <w:t xml:space="preserve"> </w:t>
      </w:r>
      <w:r w:rsidR="00845E61">
        <w:t>(le cas échéant)</w:t>
      </w:r>
      <w:r w:rsidR="000A6894">
        <w:t xml:space="preserve"> </w:t>
      </w:r>
      <w:r>
        <w:t xml:space="preserve">qui pourrait prendre effet après l’envoi de la commande et jusqu’à ce que la livraison soit finie. Ces remises </w:t>
      </w:r>
      <w:r w:rsidR="000A6894">
        <w:t xml:space="preserve">de prix </w:t>
      </w:r>
      <w:r>
        <w:lastRenderedPageBreak/>
        <w:t>d</w:t>
      </w:r>
      <w:r w:rsidR="000A6894">
        <w:t>evron</w:t>
      </w:r>
      <w:r>
        <w:t>t figurer dans les factures correspondantes. Un</w:t>
      </w:r>
      <w:r w:rsidR="000A6894">
        <w:t xml:space="preserve"> manquement à cette provision pourra</w:t>
      </w:r>
      <w:r>
        <w:t xml:space="preserve"> entrainer la résiliation de l’Accord.</w:t>
      </w:r>
    </w:p>
    <w:p w:rsidR="009C434E" w:rsidRDefault="009C434E" w:rsidP="000845DC"/>
    <w:p w:rsidR="009C434E" w:rsidRDefault="00DD19EB" w:rsidP="000845DC">
      <w:r>
        <w:t xml:space="preserve">En signant cet Accord, le Fournisseur s’engage à ne pas fournir les mêmes </w:t>
      </w:r>
      <w:r w:rsidRPr="00DD19EB">
        <w:rPr>
          <w:i/>
          <w:highlight w:val="yellow"/>
        </w:rPr>
        <w:t>[biens/services, CHOISIR LE TERME APPROPRIÉ]</w:t>
      </w:r>
      <w:r>
        <w:t xml:space="preserve"> à d’autres clients</w:t>
      </w:r>
      <w:r w:rsidR="006F2F85">
        <w:t>,</w:t>
      </w:r>
      <w:r>
        <w:t xml:space="preserve"> dans des circonstances similaires</w:t>
      </w:r>
      <w:r w:rsidR="00106315">
        <w:t xml:space="preserve"> et</w:t>
      </w:r>
      <w:r>
        <w:t xml:space="preserve"> à un prix moins élevé que celui</w:t>
      </w:r>
      <w:r w:rsidR="0036529A" w:rsidRPr="0036529A">
        <w:t xml:space="preserve"> </w:t>
      </w:r>
      <w:r w:rsidR="0036529A">
        <w:t>mentionné dans cet Accord et</w:t>
      </w:r>
      <w:r>
        <w:t xml:space="preserve"> dont </w:t>
      </w:r>
      <w:r w:rsidR="0036529A">
        <w:t xml:space="preserve">l’UNFPA </w:t>
      </w:r>
      <w:r>
        <w:t>bénéficie</w:t>
      </w:r>
      <w:r w:rsidR="0036529A">
        <w:t xml:space="preserve">. </w:t>
      </w:r>
      <w:r>
        <w:t>En cas de non-respect de cette provision, l’UNFPA</w:t>
      </w:r>
      <w:r w:rsidR="006F2F85">
        <w:t xml:space="preserve"> bénéficier</w:t>
      </w:r>
      <w:r w:rsidR="000A6894">
        <w:t>a</w:t>
      </w:r>
      <w:r>
        <w:t xml:space="preserve"> du nouveau prix inférieur.</w:t>
      </w:r>
    </w:p>
    <w:p w:rsidR="00DD19EB" w:rsidRDefault="00DD19EB" w:rsidP="000845DC"/>
    <w:p w:rsidR="00DD19EB" w:rsidRDefault="00106315" w:rsidP="000845DC">
      <w:pPr>
        <w:rPr>
          <w:rFonts w:cs="Arial"/>
        </w:rPr>
      </w:pPr>
      <w:r>
        <w:rPr>
          <w:rFonts w:cs="Arial"/>
        </w:rPr>
        <w:t>Le Fournisseur devra avertir l’UNFPA immédiatement</w:t>
      </w:r>
      <w:r>
        <w:t xml:space="preserve"> e</w:t>
      </w:r>
      <w:r w:rsidR="00DD19EB">
        <w:t>n cas de changement technique avantageux et/ou de baisse</w:t>
      </w:r>
      <w:r w:rsidR="00C55B32">
        <w:t xml:space="preserve"> de</w:t>
      </w:r>
      <w:r w:rsidR="00DD19EB">
        <w:t xml:space="preserve"> prix des Biens ou des services durant la période de </w:t>
      </w:r>
      <w:r w:rsidR="00DD19EB" w:rsidRPr="00DD19EB">
        <w:t>validit</w:t>
      </w:r>
      <w:r w:rsidR="00DD19EB" w:rsidRPr="00DD19EB">
        <w:rPr>
          <w:rFonts w:cs="Arial"/>
        </w:rPr>
        <w:t xml:space="preserve">é </w:t>
      </w:r>
      <w:r w:rsidR="00DD19EB">
        <w:rPr>
          <w:rFonts w:cs="Arial"/>
        </w:rPr>
        <w:t>de cet Accord. L’UNFPA considèrera ensuite l’impact d’un tel changement et pourra demander un amendement de l’Accord.</w:t>
      </w:r>
    </w:p>
    <w:p w:rsidR="00DD19EB" w:rsidRDefault="00DD19EB" w:rsidP="000845DC">
      <w:pPr>
        <w:rPr>
          <w:rFonts w:cs="Arial"/>
        </w:rPr>
      </w:pPr>
    </w:p>
    <w:p w:rsidR="00DD19EB" w:rsidRDefault="0036529A" w:rsidP="000845DC">
      <w:pPr>
        <w:rPr>
          <w:i/>
        </w:rPr>
      </w:pPr>
      <w:r>
        <w:rPr>
          <w:rFonts w:cs="Arial"/>
        </w:rPr>
        <w:t>Afin de limiter les risques financiers, s</w:t>
      </w:r>
      <w:r w:rsidR="008C5427">
        <w:rPr>
          <w:rFonts w:cs="Arial"/>
        </w:rPr>
        <w:t>i le dollar américain (USD) s’apprécie de plus de 10%</w:t>
      </w:r>
      <w:r w:rsidR="000225DF" w:rsidRPr="000225DF">
        <w:rPr>
          <w:rFonts w:cs="Arial"/>
        </w:rPr>
        <w:t xml:space="preserve"> </w:t>
      </w:r>
      <w:r w:rsidR="000225DF">
        <w:rPr>
          <w:rFonts w:cs="Arial"/>
        </w:rPr>
        <w:t>pendant plus de six mois</w:t>
      </w:r>
      <w:r w:rsidR="008C5427">
        <w:rPr>
          <w:rFonts w:cs="Arial"/>
        </w:rPr>
        <w:t xml:space="preserve"> face à la devise</w:t>
      </w:r>
      <w:r w:rsidR="000A6894">
        <w:rPr>
          <w:rFonts w:cs="Arial"/>
        </w:rPr>
        <w:t xml:space="preserve"> de l’offre du</w:t>
      </w:r>
      <w:r w:rsidR="008C5427">
        <w:rPr>
          <w:rFonts w:cs="Arial"/>
        </w:rPr>
        <w:t xml:space="preserve"> Fournisseur, le Fournisseur doit, durant</w:t>
      </w:r>
      <w:r w:rsidR="000A6894">
        <w:rPr>
          <w:rFonts w:cs="Arial"/>
        </w:rPr>
        <w:t xml:space="preserve"> la période de l’Accord</w:t>
      </w:r>
      <w:r w:rsidR="008C5427">
        <w:rPr>
          <w:rFonts w:cs="Arial"/>
        </w:rPr>
        <w:t xml:space="preserve">, ajuster ses prix USD </w:t>
      </w:r>
      <w:r w:rsidR="000225DF">
        <w:rPr>
          <w:rFonts w:cs="Arial"/>
        </w:rPr>
        <w:t xml:space="preserve">à la baisse </w:t>
      </w:r>
      <w:r w:rsidR="008C5427">
        <w:rPr>
          <w:rFonts w:cs="Arial"/>
        </w:rPr>
        <w:t>et utiliser à cette fin le taux de change de l’ONU.</w:t>
      </w:r>
      <w:r w:rsidR="000225DF">
        <w:rPr>
          <w:rFonts w:cs="Arial"/>
        </w:rPr>
        <w:t xml:space="preserve"> De même, si l’USD se déprécie de plus de 10% pendant plus de six mois face à la devise </w:t>
      </w:r>
      <w:r w:rsidR="000A6894">
        <w:rPr>
          <w:rFonts w:cs="Arial"/>
        </w:rPr>
        <w:t xml:space="preserve">de l’offre du </w:t>
      </w:r>
      <w:r w:rsidR="000225DF">
        <w:rPr>
          <w:rFonts w:cs="Arial"/>
        </w:rPr>
        <w:t xml:space="preserve">Fournisseur, ce dernier peut ajuster ses prix à la hausse en utilisant le taux de change de l’ONU. Le taux de change mensuel de l’ONU est disponible à cette adresse : </w:t>
      </w:r>
      <w:hyperlink r:id="rId11" w:history="1">
        <w:r w:rsidR="000225DF">
          <w:rPr>
            <w:rStyle w:val="Hyperlink"/>
          </w:rPr>
          <w:t>http://treasury.un.org/operationalrates/OperationalRates.aspx</w:t>
        </w:r>
      </w:hyperlink>
      <w:r w:rsidR="000225DF">
        <w:t xml:space="preserve"> </w:t>
      </w:r>
      <w:r w:rsidR="000225DF" w:rsidRPr="000225DF">
        <w:rPr>
          <w:i/>
          <w:highlight w:val="yellow"/>
        </w:rPr>
        <w:t xml:space="preserve">[Cette clause ne s’applique que si l’USD n’est pas la devise </w:t>
      </w:r>
      <w:r w:rsidR="000A6894">
        <w:rPr>
          <w:i/>
          <w:highlight w:val="yellow"/>
        </w:rPr>
        <w:t xml:space="preserve">de l’offre du </w:t>
      </w:r>
      <w:r w:rsidR="000225DF" w:rsidRPr="000225DF">
        <w:rPr>
          <w:i/>
          <w:highlight w:val="yellow"/>
        </w:rPr>
        <w:t>Fournisseur et que cette information a été clairement exprimée dans la soumission – SUPPRIMER SI NÉCESSAIRE]</w:t>
      </w:r>
    </w:p>
    <w:p w:rsidR="00F66356" w:rsidRDefault="00F66356" w:rsidP="000845DC">
      <w:pPr>
        <w:rPr>
          <w:i/>
        </w:rPr>
      </w:pPr>
    </w:p>
    <w:p w:rsidR="00F66356" w:rsidRDefault="00F66356" w:rsidP="00F66356">
      <w:pPr>
        <w:pStyle w:val="Heading1"/>
        <w:numPr>
          <w:ilvl w:val="0"/>
          <w:numId w:val="1"/>
        </w:numPr>
        <w:rPr>
          <w:i/>
        </w:rPr>
      </w:pPr>
      <w:bookmarkStart w:id="11" w:name="_Toc369859055"/>
      <w:r>
        <w:t xml:space="preserve">LIVRAISON </w:t>
      </w:r>
      <w:r w:rsidRPr="00F66356">
        <w:rPr>
          <w:i/>
          <w:highlight w:val="yellow"/>
        </w:rPr>
        <w:t>[SUPPRIMER SI NÉCESSAIRE]</w:t>
      </w:r>
      <w:bookmarkEnd w:id="11"/>
    </w:p>
    <w:p w:rsidR="00F66356" w:rsidRDefault="00F66356" w:rsidP="00F66356"/>
    <w:p w:rsidR="00F66356" w:rsidRDefault="00106315" w:rsidP="00F66356">
      <w:pPr>
        <w:rPr>
          <w:rFonts w:cs="Arial"/>
          <w:bCs/>
          <w:szCs w:val="20"/>
        </w:rPr>
      </w:pPr>
      <w:r>
        <w:rPr>
          <w:highlight w:val="yellow"/>
        </w:rPr>
        <w:t xml:space="preserve">Le délai </w:t>
      </w:r>
      <w:r w:rsidR="00243C19" w:rsidRPr="00243C19">
        <w:rPr>
          <w:highlight w:val="yellow"/>
        </w:rPr>
        <w:t>de livraison</w:t>
      </w:r>
      <w:r w:rsidR="00243C19">
        <w:t xml:space="preserve"> indiquée sous « </w:t>
      </w:r>
      <w:r w:rsidR="00243C19" w:rsidRPr="00243C19">
        <w:rPr>
          <w:rFonts w:cs="Arial"/>
          <w:bCs/>
          <w:szCs w:val="20"/>
        </w:rPr>
        <w:t xml:space="preserve">Délai </w:t>
      </w:r>
      <w:r w:rsidR="0054153D">
        <w:rPr>
          <w:rFonts w:cs="Arial"/>
          <w:bCs/>
          <w:szCs w:val="20"/>
        </w:rPr>
        <w:t xml:space="preserve">de </w:t>
      </w:r>
      <w:r w:rsidR="007D572E">
        <w:rPr>
          <w:rFonts w:cs="Arial"/>
          <w:bCs/>
          <w:szCs w:val="20"/>
        </w:rPr>
        <w:t xml:space="preserve">livraison </w:t>
      </w:r>
      <w:r w:rsidR="00243C19" w:rsidRPr="00243C19">
        <w:rPr>
          <w:rFonts w:cs="Arial"/>
          <w:bCs/>
          <w:szCs w:val="20"/>
        </w:rPr>
        <w:t>FCA (Semaines) »</w:t>
      </w:r>
      <w:r w:rsidR="00C55B32">
        <w:rPr>
          <w:rFonts w:cs="Arial"/>
          <w:bCs/>
          <w:szCs w:val="20"/>
        </w:rPr>
        <w:t xml:space="preserve"> en page deux</w:t>
      </w:r>
      <w:r w:rsidR="00243C19">
        <w:rPr>
          <w:rFonts w:cs="Arial"/>
          <w:bCs/>
          <w:szCs w:val="20"/>
        </w:rPr>
        <w:t xml:space="preserve"> </w:t>
      </w:r>
      <w:r w:rsidR="0036529A">
        <w:rPr>
          <w:rFonts w:cs="Arial"/>
          <w:bCs/>
          <w:szCs w:val="20"/>
        </w:rPr>
        <w:t xml:space="preserve">devra </w:t>
      </w:r>
      <w:r w:rsidR="0036529A" w:rsidRPr="0036529A">
        <w:rPr>
          <w:rFonts w:cs="Arial"/>
          <w:bCs/>
          <w:szCs w:val="20"/>
          <w:highlight w:val="yellow"/>
        </w:rPr>
        <w:t>être appliquée à cet Accord.</w:t>
      </w:r>
    </w:p>
    <w:p w:rsidR="00243C19" w:rsidRDefault="00243C19" w:rsidP="00F66356">
      <w:pPr>
        <w:rPr>
          <w:rFonts w:cs="Arial"/>
          <w:bCs/>
          <w:szCs w:val="20"/>
        </w:rPr>
      </w:pPr>
    </w:p>
    <w:p w:rsidR="00243C19" w:rsidRDefault="00243C19" w:rsidP="00F66356">
      <w:pPr>
        <w:rPr>
          <w:rFonts w:cs="Arial"/>
          <w:bCs/>
          <w:szCs w:val="20"/>
        </w:rPr>
      </w:pPr>
      <w:r>
        <w:rPr>
          <w:rFonts w:cs="Arial"/>
          <w:bCs/>
          <w:szCs w:val="20"/>
        </w:rPr>
        <w:t xml:space="preserve">Le </w:t>
      </w:r>
      <w:r>
        <w:t>« </w:t>
      </w:r>
      <w:r w:rsidRPr="00243C19">
        <w:rPr>
          <w:rFonts w:cs="Arial"/>
          <w:bCs/>
          <w:szCs w:val="20"/>
        </w:rPr>
        <w:t xml:space="preserve">Délai </w:t>
      </w:r>
      <w:r w:rsidR="0054153D">
        <w:rPr>
          <w:rFonts w:cs="Arial"/>
          <w:bCs/>
          <w:szCs w:val="20"/>
        </w:rPr>
        <w:t xml:space="preserve">de </w:t>
      </w:r>
      <w:r w:rsidR="007D572E">
        <w:rPr>
          <w:rFonts w:cs="Arial"/>
          <w:bCs/>
          <w:szCs w:val="20"/>
        </w:rPr>
        <w:t xml:space="preserve">livraison </w:t>
      </w:r>
      <w:r w:rsidRPr="00243C19">
        <w:rPr>
          <w:rFonts w:cs="Arial"/>
          <w:bCs/>
          <w:szCs w:val="20"/>
        </w:rPr>
        <w:t>FCA (Semaines) »</w:t>
      </w:r>
      <w:r>
        <w:rPr>
          <w:rFonts w:cs="Arial"/>
          <w:bCs/>
          <w:szCs w:val="20"/>
        </w:rPr>
        <w:t xml:space="preserve"> indique le nombre maximum de semaines entre la réception du bon de commande par le Fournisseur et </w:t>
      </w:r>
      <w:r w:rsidRPr="005B37D4">
        <w:rPr>
          <w:rFonts w:cs="Arial"/>
          <w:bCs/>
          <w:szCs w:val="20"/>
          <w:highlight w:val="cyan"/>
        </w:rPr>
        <w:t>l</w:t>
      </w:r>
      <w:r w:rsidR="001D5322" w:rsidRPr="005B37D4">
        <w:rPr>
          <w:rFonts w:cs="Arial"/>
          <w:bCs/>
          <w:szCs w:val="20"/>
          <w:highlight w:val="cyan"/>
        </w:rPr>
        <w:t>a</w:t>
      </w:r>
      <w:r w:rsidRPr="005B37D4">
        <w:rPr>
          <w:rFonts w:cs="Arial"/>
          <w:bCs/>
          <w:szCs w:val="20"/>
          <w:highlight w:val="cyan"/>
        </w:rPr>
        <w:t xml:space="preserve"> date</w:t>
      </w:r>
      <w:r w:rsidR="005B37D4" w:rsidRPr="005B37D4">
        <w:rPr>
          <w:rFonts w:cs="Arial"/>
          <w:bCs/>
          <w:szCs w:val="20"/>
          <w:highlight w:val="cyan"/>
        </w:rPr>
        <w:t xml:space="preserve"> de départ du moyen de transport principal</w:t>
      </w:r>
      <w:r w:rsidR="005B37D4">
        <w:rPr>
          <w:rFonts w:cs="Arial"/>
          <w:bCs/>
          <w:szCs w:val="20"/>
        </w:rPr>
        <w:t>.</w:t>
      </w:r>
    </w:p>
    <w:p w:rsidR="005B37D4" w:rsidRDefault="005B37D4" w:rsidP="00F66356">
      <w:pPr>
        <w:rPr>
          <w:rFonts w:cs="Arial"/>
          <w:bCs/>
          <w:szCs w:val="20"/>
        </w:rPr>
      </w:pPr>
    </w:p>
    <w:p w:rsidR="005B37D4" w:rsidRPr="00952B9D" w:rsidRDefault="005B37D4" w:rsidP="00F66356">
      <w:pPr>
        <w:rPr>
          <w:rFonts w:cs="Arial"/>
          <w:bCs/>
          <w:szCs w:val="20"/>
          <w:highlight w:val="cyan"/>
        </w:rPr>
      </w:pPr>
      <w:r w:rsidRPr="00952B9D">
        <w:rPr>
          <w:rFonts w:cs="Arial"/>
          <w:bCs/>
          <w:szCs w:val="20"/>
          <w:highlight w:val="cyan"/>
        </w:rPr>
        <w:t>Le fournisseur sera évalué selon la date d’échéance du bon de commande</w:t>
      </w:r>
      <w:r w:rsidR="00C61ACC" w:rsidRPr="00952B9D">
        <w:rPr>
          <w:rFonts w:cs="Arial"/>
          <w:bCs/>
          <w:szCs w:val="20"/>
          <w:highlight w:val="cyan"/>
        </w:rPr>
        <w:t>. La date d’échéanc</w:t>
      </w:r>
      <w:r w:rsidR="00106315">
        <w:rPr>
          <w:rFonts w:cs="Arial"/>
          <w:bCs/>
          <w:szCs w:val="20"/>
          <w:highlight w:val="cyan"/>
        </w:rPr>
        <w:t>e du bon de commande constitue</w:t>
      </w:r>
      <w:r w:rsidR="00C61ACC" w:rsidRPr="00952B9D">
        <w:rPr>
          <w:rFonts w:cs="Arial"/>
          <w:bCs/>
          <w:szCs w:val="20"/>
          <w:highlight w:val="cyan"/>
        </w:rPr>
        <w:t xml:space="preserve"> la date de livraison, définie comme la « date de départ » du moyen de transport principal jusqu’à la destination convenue. Pour les commandes nécessitant un échantillonnage, une inspection ou des tests avant expédition, </w:t>
      </w:r>
      <w:r w:rsidR="00CD5D3A" w:rsidRPr="00952B9D">
        <w:rPr>
          <w:rFonts w:cs="Arial"/>
          <w:bCs/>
          <w:szCs w:val="20"/>
          <w:highlight w:val="cyan"/>
        </w:rPr>
        <w:t>le délai de livraison convenu sera prorogé de manière appropriée par l’acheteur de l’UNFPA.</w:t>
      </w:r>
    </w:p>
    <w:p w:rsidR="005B37D4" w:rsidRPr="00952B9D" w:rsidRDefault="005B37D4" w:rsidP="00F66356">
      <w:pPr>
        <w:rPr>
          <w:rFonts w:cs="Arial"/>
          <w:bCs/>
          <w:szCs w:val="20"/>
          <w:highlight w:val="cyan"/>
        </w:rPr>
      </w:pPr>
    </w:p>
    <w:p w:rsidR="00CD5D3A" w:rsidRPr="00952B9D" w:rsidRDefault="00F5677C" w:rsidP="00F66356">
      <w:pPr>
        <w:rPr>
          <w:rFonts w:cs="Arial"/>
          <w:bCs/>
          <w:szCs w:val="20"/>
          <w:highlight w:val="cyan"/>
        </w:rPr>
      </w:pPr>
      <w:r w:rsidRPr="00952B9D">
        <w:rPr>
          <w:rFonts w:cs="Arial"/>
          <w:bCs/>
          <w:szCs w:val="20"/>
          <w:highlight w:val="cyan"/>
        </w:rPr>
        <w:t>La date d’échéance convenue dans le bon de commande inclut</w:t>
      </w:r>
      <w:r>
        <w:rPr>
          <w:rFonts w:cs="Arial"/>
          <w:bCs/>
          <w:szCs w:val="20"/>
        </w:rPr>
        <w:t xml:space="preserve"> </w:t>
      </w:r>
      <w:r w:rsidRPr="00F5677C">
        <w:rPr>
          <w:rFonts w:cs="Arial"/>
          <w:bCs/>
          <w:szCs w:val="20"/>
          <w:highlight w:val="yellow"/>
        </w:rPr>
        <w:t>X</w:t>
      </w:r>
      <w:r>
        <w:rPr>
          <w:rFonts w:cs="Arial"/>
          <w:bCs/>
          <w:szCs w:val="20"/>
        </w:rPr>
        <w:t xml:space="preserve"> </w:t>
      </w:r>
      <w:r w:rsidRPr="00952B9D">
        <w:rPr>
          <w:rFonts w:cs="Arial"/>
          <w:bCs/>
          <w:szCs w:val="20"/>
          <w:highlight w:val="cyan"/>
        </w:rPr>
        <w:t xml:space="preserve">semaine(s) pour l’inspection avant expédition, et est évaluée en fonction de </w:t>
      </w:r>
      <w:r w:rsidR="00952B9D" w:rsidRPr="00952B9D">
        <w:rPr>
          <w:rFonts w:cs="Arial"/>
          <w:bCs/>
          <w:szCs w:val="20"/>
          <w:highlight w:val="cyan"/>
        </w:rPr>
        <w:t>la d</w:t>
      </w:r>
      <w:r w:rsidR="001618C0" w:rsidRPr="00952B9D">
        <w:rPr>
          <w:rFonts w:cs="Arial"/>
          <w:bCs/>
          <w:szCs w:val="20"/>
          <w:highlight w:val="cyan"/>
        </w:rPr>
        <w:t>ate effective de départ (ATD). L’ATD désigne la date effective à laquelle les Biens sont expédiés après que l’inspection avant embarquement a eu lieu. En l’absence d’AT</w:t>
      </w:r>
      <w:r w:rsidR="00952B9D" w:rsidRPr="00952B9D">
        <w:rPr>
          <w:rFonts w:cs="Arial"/>
          <w:bCs/>
          <w:szCs w:val="20"/>
          <w:highlight w:val="cyan"/>
        </w:rPr>
        <w:t>D, il conviendra d’utiliser la d</w:t>
      </w:r>
      <w:r w:rsidR="001618C0" w:rsidRPr="00952B9D">
        <w:rPr>
          <w:rFonts w:cs="Arial"/>
          <w:bCs/>
          <w:szCs w:val="20"/>
          <w:highlight w:val="cyan"/>
        </w:rPr>
        <w:t>ate estimée de départ (ETD).</w:t>
      </w:r>
    </w:p>
    <w:p w:rsidR="001618C0" w:rsidRPr="00952B9D" w:rsidRDefault="001618C0" w:rsidP="00F66356">
      <w:pPr>
        <w:rPr>
          <w:rFonts w:cs="Arial"/>
          <w:bCs/>
          <w:szCs w:val="20"/>
          <w:highlight w:val="cyan"/>
        </w:rPr>
      </w:pPr>
    </w:p>
    <w:p w:rsidR="001618C0" w:rsidRPr="00952B9D" w:rsidRDefault="001618C0" w:rsidP="00F66356">
      <w:pPr>
        <w:rPr>
          <w:rFonts w:cs="Arial"/>
          <w:bCs/>
          <w:szCs w:val="20"/>
          <w:highlight w:val="cyan"/>
        </w:rPr>
      </w:pPr>
      <w:r w:rsidRPr="00952B9D">
        <w:rPr>
          <w:rFonts w:cs="Arial"/>
          <w:bCs/>
          <w:szCs w:val="20"/>
          <w:highlight w:val="cyan"/>
        </w:rPr>
        <w:t>Si l’ATD est postérieure à la date d’échéance du bon de commande, alors les Biens sont livrés en retard par le Fournisseur.</w:t>
      </w:r>
    </w:p>
    <w:p w:rsidR="001618C0" w:rsidRPr="00952B9D" w:rsidRDefault="001618C0" w:rsidP="00F66356">
      <w:pPr>
        <w:rPr>
          <w:rFonts w:cs="Arial"/>
          <w:bCs/>
          <w:szCs w:val="20"/>
          <w:highlight w:val="cyan"/>
        </w:rPr>
      </w:pPr>
    </w:p>
    <w:p w:rsidR="001618C0" w:rsidRPr="00952B9D" w:rsidRDefault="001618C0" w:rsidP="00F66356">
      <w:pPr>
        <w:rPr>
          <w:rFonts w:cs="Arial"/>
          <w:bCs/>
          <w:szCs w:val="20"/>
          <w:highlight w:val="cyan"/>
        </w:rPr>
      </w:pPr>
      <w:r w:rsidRPr="00952B9D">
        <w:rPr>
          <w:rFonts w:cs="Arial"/>
          <w:bCs/>
          <w:szCs w:val="20"/>
          <w:highlight w:val="cyan"/>
        </w:rPr>
        <w:t>Si l’ATD est la même que la date d’échéance du bon de commande, alors les Biens sont livrés à l’heure par le Fournisseur.</w:t>
      </w:r>
    </w:p>
    <w:p w:rsidR="001618C0" w:rsidRPr="00952B9D" w:rsidRDefault="001618C0" w:rsidP="00F66356">
      <w:pPr>
        <w:rPr>
          <w:rFonts w:cs="Arial"/>
          <w:bCs/>
          <w:szCs w:val="20"/>
          <w:highlight w:val="cyan"/>
        </w:rPr>
      </w:pPr>
    </w:p>
    <w:p w:rsidR="001618C0" w:rsidRPr="00952B9D" w:rsidRDefault="001618C0" w:rsidP="00F66356">
      <w:pPr>
        <w:rPr>
          <w:rFonts w:cs="Arial"/>
          <w:bCs/>
          <w:szCs w:val="20"/>
          <w:highlight w:val="cyan"/>
        </w:rPr>
      </w:pPr>
      <w:r w:rsidRPr="00952B9D">
        <w:rPr>
          <w:rFonts w:cs="Arial"/>
          <w:bCs/>
          <w:szCs w:val="20"/>
          <w:highlight w:val="cyan"/>
        </w:rPr>
        <w:t>Si l’ATD est antérieure à la date d’échéance du bon de commande, alors les Biens sont livrés en avance par le Fournisseur.</w:t>
      </w:r>
    </w:p>
    <w:p w:rsidR="001618C0" w:rsidRPr="00952B9D" w:rsidRDefault="001618C0" w:rsidP="00F66356">
      <w:pPr>
        <w:rPr>
          <w:rFonts w:cs="Arial"/>
          <w:bCs/>
          <w:szCs w:val="20"/>
          <w:highlight w:val="cyan"/>
        </w:rPr>
      </w:pPr>
    </w:p>
    <w:p w:rsidR="001618C0" w:rsidRPr="00952B9D" w:rsidRDefault="001618C0" w:rsidP="00F66356">
      <w:pPr>
        <w:rPr>
          <w:rFonts w:cs="Arial"/>
          <w:bCs/>
          <w:szCs w:val="20"/>
          <w:highlight w:val="cyan"/>
        </w:rPr>
      </w:pPr>
      <w:r w:rsidRPr="00952B9D">
        <w:rPr>
          <w:rFonts w:cs="Arial"/>
          <w:bCs/>
          <w:szCs w:val="20"/>
          <w:highlight w:val="cyan"/>
        </w:rPr>
        <w:t xml:space="preserve">La livraison </w:t>
      </w:r>
      <w:r w:rsidR="00106315" w:rsidRPr="00952B9D">
        <w:rPr>
          <w:rFonts w:cs="Arial"/>
          <w:bCs/>
          <w:szCs w:val="20"/>
          <w:highlight w:val="cyan"/>
        </w:rPr>
        <w:t xml:space="preserve">en avance </w:t>
      </w:r>
      <w:r w:rsidRPr="00952B9D">
        <w:rPr>
          <w:rFonts w:cs="Arial"/>
          <w:bCs/>
          <w:szCs w:val="20"/>
          <w:highlight w:val="cyan"/>
        </w:rPr>
        <w:t>des Biens n’est pas</w:t>
      </w:r>
      <w:r w:rsidR="00106315">
        <w:rPr>
          <w:rFonts w:cs="Arial"/>
          <w:bCs/>
          <w:szCs w:val="20"/>
          <w:highlight w:val="cyan"/>
        </w:rPr>
        <w:t xml:space="preserve"> nécessairement appropriée</w:t>
      </w:r>
      <w:r w:rsidR="001E7B90" w:rsidRPr="00952B9D">
        <w:rPr>
          <w:rFonts w:cs="Arial"/>
          <w:bCs/>
          <w:szCs w:val="20"/>
          <w:highlight w:val="cyan"/>
        </w:rPr>
        <w:t xml:space="preserve">, dans la mesure où il est possible que le destinataire n’ait pas suffisamment d’espace dans son entrepôt pour </w:t>
      </w:r>
      <w:r w:rsidR="001E7B90" w:rsidRPr="00952B9D">
        <w:rPr>
          <w:rFonts w:cs="Arial"/>
          <w:bCs/>
          <w:szCs w:val="20"/>
          <w:highlight w:val="cyan"/>
        </w:rPr>
        <w:lastRenderedPageBreak/>
        <w:t>stocker les Biens. Le Fournisseur devra obtenir l’autorisation de l’acheteur de l’UNFPA avant de livrer les Biens avant la date d’échéance du bon de commande.</w:t>
      </w:r>
    </w:p>
    <w:p w:rsidR="001E7B90" w:rsidRPr="00952B9D" w:rsidRDefault="001E7B90" w:rsidP="00F66356">
      <w:pPr>
        <w:rPr>
          <w:rFonts w:cs="Arial"/>
          <w:bCs/>
          <w:szCs w:val="20"/>
          <w:highlight w:val="cyan"/>
        </w:rPr>
      </w:pPr>
    </w:p>
    <w:p w:rsidR="00C638EF" w:rsidRPr="00952B9D" w:rsidRDefault="00106315" w:rsidP="00F66356">
      <w:pPr>
        <w:rPr>
          <w:rFonts w:cs="Arial"/>
          <w:bCs/>
          <w:szCs w:val="20"/>
          <w:highlight w:val="cyan"/>
        </w:rPr>
      </w:pPr>
      <w:r>
        <w:rPr>
          <w:rFonts w:cs="Arial"/>
          <w:bCs/>
          <w:szCs w:val="20"/>
          <w:highlight w:val="cyan"/>
        </w:rPr>
        <w:t>L</w:t>
      </w:r>
      <w:r w:rsidR="0083589D" w:rsidRPr="00952B9D">
        <w:rPr>
          <w:rFonts w:cs="Arial"/>
          <w:bCs/>
          <w:szCs w:val="20"/>
          <w:highlight w:val="cyan"/>
        </w:rPr>
        <w:t xml:space="preserve">e Fournisseur sera </w:t>
      </w:r>
      <w:r>
        <w:rPr>
          <w:rFonts w:cs="Arial"/>
          <w:bCs/>
          <w:szCs w:val="20"/>
          <w:highlight w:val="cyan"/>
        </w:rPr>
        <w:t xml:space="preserve">aussi </w:t>
      </w:r>
      <w:r w:rsidR="0083589D" w:rsidRPr="00952B9D">
        <w:rPr>
          <w:rFonts w:cs="Arial"/>
          <w:bCs/>
          <w:szCs w:val="20"/>
          <w:highlight w:val="cyan"/>
        </w:rPr>
        <w:t>évalué selon de</w:t>
      </w:r>
      <w:r w:rsidR="00C638EF" w:rsidRPr="00952B9D">
        <w:rPr>
          <w:rFonts w:cs="Arial"/>
          <w:bCs/>
          <w:szCs w:val="20"/>
          <w:highlight w:val="cyan"/>
        </w:rPr>
        <w:t xml:space="preserve"> le « Délai de livraison FCA (S</w:t>
      </w:r>
      <w:r w:rsidR="0083589D" w:rsidRPr="00952B9D">
        <w:rPr>
          <w:rFonts w:cs="Arial"/>
          <w:bCs/>
          <w:szCs w:val="20"/>
          <w:highlight w:val="cyan"/>
        </w:rPr>
        <w:t>emaines</w:t>
      </w:r>
      <w:r w:rsidR="00C638EF" w:rsidRPr="00952B9D">
        <w:rPr>
          <w:rFonts w:cs="Arial"/>
          <w:bCs/>
          <w:szCs w:val="20"/>
          <w:highlight w:val="cyan"/>
        </w:rPr>
        <w:t>)</w:t>
      </w:r>
      <w:r w:rsidR="0083589D" w:rsidRPr="00952B9D">
        <w:rPr>
          <w:rFonts w:cs="Arial"/>
          <w:bCs/>
          <w:szCs w:val="20"/>
          <w:highlight w:val="cyan"/>
        </w:rPr>
        <w:t> »</w:t>
      </w:r>
      <w:r w:rsidR="00C638EF" w:rsidRPr="00952B9D">
        <w:rPr>
          <w:rFonts w:cs="Arial"/>
          <w:bCs/>
          <w:szCs w:val="20"/>
          <w:highlight w:val="cyan"/>
        </w:rPr>
        <w:t xml:space="preserve"> convenu dans cet Accord. Pour les Biens nécessitant un échantillonnage, une inspection ou des tests avant expédition, la durée appropriée sera ajoutée au « Délai de livraison FCA (Semaines) » dans le rapport de performance du Fournisseur.</w:t>
      </w:r>
    </w:p>
    <w:p w:rsidR="00C638EF" w:rsidRPr="00952B9D" w:rsidRDefault="00C638EF" w:rsidP="00F66356">
      <w:pPr>
        <w:rPr>
          <w:rFonts w:cs="Arial"/>
          <w:bCs/>
          <w:szCs w:val="20"/>
          <w:highlight w:val="cyan"/>
        </w:rPr>
      </w:pPr>
    </w:p>
    <w:p w:rsidR="001E7B90" w:rsidRDefault="00C638EF" w:rsidP="00F66356">
      <w:pPr>
        <w:rPr>
          <w:rFonts w:cs="Arial"/>
          <w:bCs/>
          <w:szCs w:val="20"/>
        </w:rPr>
      </w:pPr>
      <w:r w:rsidRPr="00952B9D">
        <w:rPr>
          <w:rFonts w:cs="Arial"/>
          <w:bCs/>
          <w:szCs w:val="20"/>
          <w:highlight w:val="cyan"/>
        </w:rPr>
        <w:t>La prorogation du  « Délai de livraison FCA (Semaines) » en raison de l’inspection avant expédition est de</w:t>
      </w:r>
      <w:r>
        <w:rPr>
          <w:rFonts w:cs="Arial"/>
          <w:bCs/>
          <w:szCs w:val="20"/>
        </w:rPr>
        <w:t xml:space="preserve"> </w:t>
      </w:r>
      <w:r w:rsidRPr="00C638EF">
        <w:rPr>
          <w:rFonts w:cs="Arial"/>
          <w:bCs/>
          <w:szCs w:val="20"/>
          <w:highlight w:val="yellow"/>
        </w:rPr>
        <w:t>X</w:t>
      </w:r>
      <w:r>
        <w:rPr>
          <w:rFonts w:cs="Arial"/>
          <w:bCs/>
          <w:szCs w:val="20"/>
        </w:rPr>
        <w:t xml:space="preserve"> </w:t>
      </w:r>
      <w:r w:rsidRPr="00952B9D">
        <w:rPr>
          <w:rFonts w:cs="Arial"/>
          <w:bCs/>
          <w:szCs w:val="20"/>
          <w:highlight w:val="cyan"/>
        </w:rPr>
        <w:t>semaine(s) pour</w:t>
      </w:r>
      <w:r>
        <w:rPr>
          <w:rFonts w:cs="Arial"/>
          <w:bCs/>
          <w:szCs w:val="20"/>
        </w:rPr>
        <w:t xml:space="preserve"> </w:t>
      </w:r>
      <w:r w:rsidRPr="00C638EF">
        <w:rPr>
          <w:rFonts w:cs="Arial"/>
          <w:bCs/>
          <w:szCs w:val="20"/>
          <w:highlight w:val="yellow"/>
        </w:rPr>
        <w:t>[nom du produit]</w:t>
      </w:r>
      <w:r>
        <w:rPr>
          <w:rFonts w:cs="Arial"/>
          <w:bCs/>
          <w:szCs w:val="20"/>
        </w:rPr>
        <w:t>.</w:t>
      </w:r>
    </w:p>
    <w:p w:rsidR="00C638EF" w:rsidRDefault="00C638EF" w:rsidP="00F66356">
      <w:pPr>
        <w:rPr>
          <w:rFonts w:cs="Arial"/>
          <w:bCs/>
          <w:szCs w:val="20"/>
        </w:rPr>
      </w:pPr>
    </w:p>
    <w:p w:rsidR="00C638EF" w:rsidRPr="00952B9D" w:rsidRDefault="00C638EF" w:rsidP="00F66356">
      <w:pPr>
        <w:rPr>
          <w:rFonts w:cs="Arial"/>
          <w:bCs/>
          <w:szCs w:val="20"/>
          <w:highlight w:val="cyan"/>
        </w:rPr>
      </w:pPr>
      <w:r w:rsidRPr="00952B9D">
        <w:rPr>
          <w:rFonts w:cs="Arial"/>
          <w:bCs/>
          <w:szCs w:val="20"/>
          <w:highlight w:val="cyan"/>
        </w:rPr>
        <w:t>Le délai de livraison (semaines) du bon de commande (</w:t>
      </w:r>
      <w:r w:rsidR="00D10276" w:rsidRPr="00952B9D">
        <w:rPr>
          <w:rFonts w:cs="Arial"/>
          <w:bCs/>
          <w:szCs w:val="20"/>
          <w:highlight w:val="cyan"/>
        </w:rPr>
        <w:t>défini comme la période entre la réception et l’acceptation du bon de commande et la date d’échéance du bon de commande) sera comparé au « Délai de livraison FCA (Semaines) », plus</w:t>
      </w:r>
      <w:r w:rsidR="00D10276">
        <w:rPr>
          <w:rFonts w:cs="Arial"/>
          <w:bCs/>
          <w:szCs w:val="20"/>
        </w:rPr>
        <w:t xml:space="preserve"> </w:t>
      </w:r>
      <w:r w:rsidR="00D10276" w:rsidRPr="00D10276">
        <w:rPr>
          <w:rFonts w:cs="Arial"/>
          <w:bCs/>
          <w:szCs w:val="20"/>
          <w:highlight w:val="yellow"/>
        </w:rPr>
        <w:t>X</w:t>
      </w:r>
      <w:r w:rsidR="00D10276">
        <w:rPr>
          <w:rFonts w:cs="Arial"/>
          <w:bCs/>
          <w:szCs w:val="20"/>
        </w:rPr>
        <w:t xml:space="preserve"> </w:t>
      </w:r>
      <w:r w:rsidR="00D10276" w:rsidRPr="00952B9D">
        <w:rPr>
          <w:rFonts w:cs="Arial"/>
          <w:bCs/>
          <w:szCs w:val="20"/>
          <w:highlight w:val="cyan"/>
        </w:rPr>
        <w:t>semaine(s) pour l’inspection avant embarquement, le total étant de</w:t>
      </w:r>
      <w:r w:rsidR="00D10276">
        <w:rPr>
          <w:rFonts w:cs="Arial"/>
          <w:bCs/>
          <w:szCs w:val="20"/>
        </w:rPr>
        <w:t xml:space="preserve"> </w:t>
      </w:r>
      <w:r w:rsidR="00D10276" w:rsidRPr="00D10276">
        <w:rPr>
          <w:rFonts w:cs="Arial"/>
          <w:bCs/>
          <w:szCs w:val="20"/>
          <w:highlight w:val="yellow"/>
        </w:rPr>
        <w:t xml:space="preserve">XX </w:t>
      </w:r>
      <w:r w:rsidR="00D10276" w:rsidRPr="00952B9D">
        <w:rPr>
          <w:rFonts w:cs="Arial"/>
          <w:bCs/>
          <w:szCs w:val="20"/>
          <w:highlight w:val="cyan"/>
        </w:rPr>
        <w:t>semaines.</w:t>
      </w:r>
    </w:p>
    <w:p w:rsidR="00D10276" w:rsidRPr="00952B9D" w:rsidRDefault="00D10276" w:rsidP="00F66356">
      <w:pPr>
        <w:rPr>
          <w:rFonts w:cs="Arial"/>
          <w:bCs/>
          <w:szCs w:val="20"/>
          <w:highlight w:val="cyan"/>
        </w:rPr>
      </w:pPr>
    </w:p>
    <w:p w:rsidR="00D10276" w:rsidRPr="00952B9D" w:rsidRDefault="002C5C67" w:rsidP="00F66356">
      <w:pPr>
        <w:rPr>
          <w:rFonts w:cs="Arial"/>
          <w:bCs/>
          <w:szCs w:val="20"/>
          <w:highlight w:val="cyan"/>
        </w:rPr>
      </w:pPr>
      <w:r w:rsidRPr="00952B9D">
        <w:rPr>
          <w:rFonts w:cs="Arial"/>
          <w:bCs/>
          <w:szCs w:val="20"/>
          <w:highlight w:val="cyan"/>
        </w:rPr>
        <w:t xml:space="preserve">Si le délai de livraison (semaines) du bon de commande est supérieur au « Délai de livraison FCA (Semaines) » (incluant la prorogation pour l’inspection avant expédition, le cas échéant), alors le Fournisseur ne </w:t>
      </w:r>
      <w:r w:rsidR="006025C3" w:rsidRPr="00952B9D">
        <w:rPr>
          <w:rFonts w:cs="Arial"/>
          <w:bCs/>
          <w:szCs w:val="20"/>
          <w:highlight w:val="cyan"/>
        </w:rPr>
        <w:t xml:space="preserve">répond pas aux attentes </w:t>
      </w:r>
      <w:r w:rsidRPr="00952B9D">
        <w:rPr>
          <w:rFonts w:cs="Arial"/>
          <w:bCs/>
          <w:szCs w:val="20"/>
          <w:highlight w:val="cyan"/>
        </w:rPr>
        <w:t>de cet Accord, même si l’ATD ou l’ETD correspond à la date d’échéance du bon de commande.</w:t>
      </w:r>
    </w:p>
    <w:p w:rsidR="00CD5D3A" w:rsidRPr="00952B9D" w:rsidRDefault="00CD5D3A" w:rsidP="00F66356">
      <w:pPr>
        <w:rPr>
          <w:rFonts w:cs="Arial"/>
          <w:bCs/>
          <w:szCs w:val="20"/>
          <w:highlight w:val="cyan"/>
        </w:rPr>
      </w:pPr>
    </w:p>
    <w:p w:rsidR="00CD5D3A" w:rsidRPr="00952B9D" w:rsidRDefault="002C5C67" w:rsidP="00F66356">
      <w:pPr>
        <w:rPr>
          <w:rFonts w:cs="Arial"/>
          <w:bCs/>
          <w:szCs w:val="20"/>
          <w:highlight w:val="cyan"/>
        </w:rPr>
      </w:pPr>
      <w:r w:rsidRPr="00952B9D">
        <w:rPr>
          <w:rFonts w:cs="Arial"/>
          <w:bCs/>
          <w:szCs w:val="20"/>
          <w:highlight w:val="cyan"/>
        </w:rPr>
        <w:t xml:space="preserve">Si le délai de livraison (semaines) du bon de commande correspond au « Délai de livraison FCA (Semaines) » (incluant la prorogation pour l’inspection avant expédition, le cas échéant), alors le Fournisseur </w:t>
      </w:r>
      <w:r w:rsidR="006025C3" w:rsidRPr="00952B9D">
        <w:rPr>
          <w:rFonts w:cs="Arial"/>
          <w:bCs/>
          <w:szCs w:val="20"/>
          <w:highlight w:val="cyan"/>
        </w:rPr>
        <w:t xml:space="preserve">répond aux attentes </w:t>
      </w:r>
      <w:r w:rsidRPr="00952B9D">
        <w:rPr>
          <w:rFonts w:cs="Arial"/>
          <w:bCs/>
          <w:szCs w:val="20"/>
          <w:highlight w:val="cyan"/>
        </w:rPr>
        <w:t>de cet Accord.</w:t>
      </w:r>
    </w:p>
    <w:p w:rsidR="002C5C67" w:rsidRPr="00952B9D" w:rsidRDefault="002C5C67" w:rsidP="00F66356">
      <w:pPr>
        <w:rPr>
          <w:rFonts w:cs="Arial"/>
          <w:bCs/>
          <w:szCs w:val="20"/>
          <w:highlight w:val="cyan"/>
        </w:rPr>
      </w:pPr>
    </w:p>
    <w:p w:rsidR="002C5C67" w:rsidRPr="00952B9D" w:rsidRDefault="002C5C67" w:rsidP="00F66356">
      <w:pPr>
        <w:rPr>
          <w:rFonts w:cs="Arial"/>
          <w:bCs/>
          <w:szCs w:val="20"/>
          <w:highlight w:val="cyan"/>
        </w:rPr>
      </w:pPr>
      <w:r w:rsidRPr="00952B9D">
        <w:rPr>
          <w:rFonts w:cs="Arial"/>
          <w:bCs/>
          <w:szCs w:val="20"/>
          <w:highlight w:val="cyan"/>
        </w:rPr>
        <w:t>Si le délai de livraison (semaines) du bon de commande est inférieur au « Délai de livraison FCA (Semaines) » (incluant la prorogation pour l’inspection avant expédition, le cas échéant), et si l’ETD ou l’ATD correspond à la date d’échéance du bon de commande, alors le Fournisseur</w:t>
      </w:r>
      <w:r w:rsidR="006025C3" w:rsidRPr="00952B9D">
        <w:rPr>
          <w:rFonts w:cs="Arial"/>
          <w:bCs/>
          <w:szCs w:val="20"/>
          <w:highlight w:val="cyan"/>
        </w:rPr>
        <w:t xml:space="preserve"> dépasse les attentes de cet Accord.</w:t>
      </w:r>
    </w:p>
    <w:p w:rsidR="002C5C67" w:rsidRPr="00952B9D" w:rsidRDefault="002C5C67" w:rsidP="00F66356">
      <w:pPr>
        <w:rPr>
          <w:rFonts w:cs="Arial"/>
          <w:bCs/>
          <w:szCs w:val="20"/>
          <w:highlight w:val="cyan"/>
        </w:rPr>
      </w:pPr>
    </w:p>
    <w:p w:rsidR="002C5C67" w:rsidRPr="00952B9D" w:rsidRDefault="006025C3" w:rsidP="00F66356">
      <w:pPr>
        <w:rPr>
          <w:rFonts w:cs="Arial"/>
          <w:bCs/>
          <w:szCs w:val="20"/>
          <w:highlight w:val="cyan"/>
        </w:rPr>
      </w:pPr>
      <w:r w:rsidRPr="00952B9D">
        <w:rPr>
          <w:rFonts w:cs="Arial"/>
          <w:bCs/>
          <w:szCs w:val="20"/>
          <w:highlight w:val="cyan"/>
        </w:rPr>
        <w:t>Pour le transport maritime, le moyen de transport principal désigne le navire. L’ATD est tirée du connaissement ou de la lettre de transport maritime, et correspond à la date effective de départ du navire.</w:t>
      </w:r>
    </w:p>
    <w:p w:rsidR="006025C3" w:rsidRPr="00952B9D" w:rsidRDefault="006025C3" w:rsidP="00F66356">
      <w:pPr>
        <w:rPr>
          <w:rFonts w:cs="Arial"/>
          <w:bCs/>
          <w:szCs w:val="20"/>
          <w:highlight w:val="cyan"/>
        </w:rPr>
      </w:pPr>
    </w:p>
    <w:p w:rsidR="006025C3" w:rsidRPr="00952B9D" w:rsidRDefault="006025C3" w:rsidP="00F66356">
      <w:pPr>
        <w:rPr>
          <w:rFonts w:cs="Arial"/>
          <w:bCs/>
          <w:szCs w:val="20"/>
          <w:highlight w:val="cyan"/>
        </w:rPr>
      </w:pPr>
      <w:r w:rsidRPr="00952B9D">
        <w:rPr>
          <w:rFonts w:cs="Arial"/>
          <w:bCs/>
          <w:szCs w:val="20"/>
          <w:highlight w:val="cyan"/>
        </w:rPr>
        <w:t>Pour le transport aérien, le moyen de transport</w:t>
      </w:r>
      <w:r w:rsidR="00106315">
        <w:rPr>
          <w:rFonts w:cs="Arial"/>
          <w:bCs/>
          <w:szCs w:val="20"/>
          <w:highlight w:val="cyan"/>
        </w:rPr>
        <w:t xml:space="preserve"> principal désigne l’avion</w:t>
      </w:r>
      <w:r w:rsidRPr="00952B9D">
        <w:rPr>
          <w:rFonts w:cs="Arial"/>
          <w:bCs/>
          <w:szCs w:val="20"/>
          <w:highlight w:val="cyan"/>
        </w:rPr>
        <w:t>. L’ATD est tirée de la lettre de transport aérien, et correspond à la date effective de départ</w:t>
      </w:r>
      <w:r w:rsidR="00106315">
        <w:rPr>
          <w:rFonts w:cs="Arial"/>
          <w:bCs/>
          <w:szCs w:val="20"/>
          <w:highlight w:val="cyan"/>
        </w:rPr>
        <w:t xml:space="preserve"> de l’avion</w:t>
      </w:r>
      <w:r w:rsidRPr="00952B9D">
        <w:rPr>
          <w:rFonts w:cs="Arial"/>
          <w:bCs/>
          <w:szCs w:val="20"/>
          <w:highlight w:val="cyan"/>
        </w:rPr>
        <w:t>.</w:t>
      </w:r>
    </w:p>
    <w:p w:rsidR="006025C3" w:rsidRPr="00952B9D" w:rsidRDefault="006025C3" w:rsidP="00F66356">
      <w:pPr>
        <w:rPr>
          <w:rFonts w:cs="Arial"/>
          <w:bCs/>
          <w:szCs w:val="20"/>
          <w:highlight w:val="cyan"/>
        </w:rPr>
      </w:pPr>
    </w:p>
    <w:p w:rsidR="006025C3" w:rsidRDefault="006025C3" w:rsidP="00F66356">
      <w:pPr>
        <w:rPr>
          <w:rFonts w:cs="Arial"/>
          <w:bCs/>
          <w:szCs w:val="20"/>
        </w:rPr>
      </w:pPr>
      <w:r w:rsidRPr="00952B9D">
        <w:rPr>
          <w:rFonts w:cs="Arial"/>
          <w:bCs/>
          <w:szCs w:val="20"/>
          <w:highlight w:val="cyan"/>
        </w:rPr>
        <w:t xml:space="preserve">La </w:t>
      </w:r>
      <w:r w:rsidR="00952B9D" w:rsidRPr="00952B9D">
        <w:rPr>
          <w:rFonts w:cs="Arial"/>
          <w:bCs/>
          <w:szCs w:val="20"/>
          <w:highlight w:val="cyan"/>
        </w:rPr>
        <w:t>d</w:t>
      </w:r>
      <w:r w:rsidRPr="00952B9D">
        <w:rPr>
          <w:rFonts w:cs="Arial"/>
          <w:bCs/>
          <w:szCs w:val="20"/>
          <w:highlight w:val="cyan"/>
        </w:rPr>
        <w:t>ate</w:t>
      </w:r>
      <w:r w:rsidR="00952B9D" w:rsidRPr="00952B9D">
        <w:rPr>
          <w:rFonts w:cs="Arial"/>
          <w:bCs/>
          <w:szCs w:val="20"/>
          <w:highlight w:val="cyan"/>
        </w:rPr>
        <w:t xml:space="preserve"> estimée d’arrivée (ETA) et la date effective d’arrivée (ATA) correspondent au moment où le dernier moyen de transport arrive au lieu de destination convenu. En cas de transport multimodal, le dernier moyen de trans</w:t>
      </w:r>
      <w:r w:rsidR="00106315">
        <w:rPr>
          <w:rFonts w:cs="Arial"/>
          <w:bCs/>
          <w:szCs w:val="20"/>
          <w:highlight w:val="cyan"/>
        </w:rPr>
        <w:t>port n’est pas nécessairement un</w:t>
      </w:r>
      <w:r w:rsidR="00952B9D" w:rsidRPr="00952B9D">
        <w:rPr>
          <w:rFonts w:cs="Arial"/>
          <w:bCs/>
          <w:szCs w:val="20"/>
          <w:highlight w:val="cyan"/>
        </w:rPr>
        <w:t xml:space="preserve"> navire ou </w:t>
      </w:r>
      <w:r w:rsidR="00106315">
        <w:rPr>
          <w:rFonts w:cs="Arial"/>
          <w:bCs/>
          <w:szCs w:val="20"/>
          <w:highlight w:val="cyan"/>
        </w:rPr>
        <w:t>un avion</w:t>
      </w:r>
      <w:r w:rsidR="00952B9D" w:rsidRPr="00952B9D">
        <w:rPr>
          <w:rFonts w:cs="Arial"/>
          <w:bCs/>
          <w:szCs w:val="20"/>
          <w:highlight w:val="cyan"/>
        </w:rPr>
        <w:t xml:space="preserve">, mais peut désigner </w:t>
      </w:r>
      <w:r w:rsidR="00106315">
        <w:rPr>
          <w:rFonts w:cs="Arial"/>
          <w:bCs/>
          <w:szCs w:val="20"/>
          <w:highlight w:val="cyan"/>
        </w:rPr>
        <w:t>un</w:t>
      </w:r>
      <w:r w:rsidR="00952B9D" w:rsidRPr="00952B9D">
        <w:rPr>
          <w:rFonts w:cs="Arial"/>
          <w:bCs/>
          <w:szCs w:val="20"/>
          <w:highlight w:val="cyan"/>
        </w:rPr>
        <w:t xml:space="preserve"> train ou </w:t>
      </w:r>
      <w:r w:rsidR="00106315">
        <w:rPr>
          <w:rFonts w:cs="Arial"/>
          <w:bCs/>
          <w:szCs w:val="20"/>
          <w:highlight w:val="cyan"/>
        </w:rPr>
        <w:t>un</w:t>
      </w:r>
      <w:r w:rsidR="00952B9D" w:rsidRPr="00952B9D">
        <w:rPr>
          <w:rFonts w:cs="Arial"/>
          <w:bCs/>
          <w:szCs w:val="20"/>
          <w:highlight w:val="cyan"/>
        </w:rPr>
        <w:t xml:space="preserve"> camion, en particulier s’il s’agit d’un pays enclavé.</w:t>
      </w:r>
    </w:p>
    <w:p w:rsidR="00952B9D" w:rsidRDefault="00952B9D" w:rsidP="00F66356">
      <w:pPr>
        <w:rPr>
          <w:rFonts w:cs="Arial"/>
          <w:bCs/>
          <w:szCs w:val="20"/>
        </w:rPr>
      </w:pPr>
    </w:p>
    <w:p w:rsidR="00DF546B" w:rsidRPr="00952B9D" w:rsidRDefault="0054153D" w:rsidP="00F66356">
      <w:pPr>
        <w:rPr>
          <w:rFonts w:cs="Arial"/>
          <w:bCs/>
          <w:szCs w:val="20"/>
        </w:rPr>
      </w:pPr>
      <w:r w:rsidRPr="00952B9D">
        <w:rPr>
          <w:rFonts w:cs="Arial"/>
          <w:bCs/>
          <w:szCs w:val="20"/>
        </w:rPr>
        <w:t xml:space="preserve">Même si les prix de cet Accord sont basés sur les termes FCA, </w:t>
      </w:r>
      <w:r w:rsidRPr="00952B9D">
        <w:rPr>
          <w:rFonts w:cs="Arial"/>
          <w:bCs/>
          <w:szCs w:val="20"/>
          <w:highlight w:val="yellow"/>
        </w:rPr>
        <w:t xml:space="preserve">le bon de </w:t>
      </w:r>
      <w:r w:rsidR="00106315">
        <w:rPr>
          <w:rFonts w:cs="Arial"/>
          <w:bCs/>
          <w:szCs w:val="20"/>
          <w:highlight w:val="yellow"/>
        </w:rPr>
        <w:t>commande peut être émis selon</w:t>
      </w:r>
      <w:r w:rsidR="00106315">
        <w:rPr>
          <w:rFonts w:cs="Arial"/>
          <w:bCs/>
          <w:szCs w:val="20"/>
        </w:rPr>
        <w:t xml:space="preserve"> d’autres</w:t>
      </w:r>
      <w:r w:rsidRPr="00952B9D">
        <w:rPr>
          <w:rFonts w:cs="Arial"/>
          <w:bCs/>
          <w:szCs w:val="20"/>
        </w:rPr>
        <w:t xml:space="preserve"> INCOTERMS 2010 [</w:t>
      </w:r>
      <w:r w:rsidRPr="00952B9D">
        <w:rPr>
          <w:rFonts w:cs="Arial"/>
          <w:bCs/>
          <w:szCs w:val="20"/>
          <w:highlight w:val="yellow"/>
        </w:rPr>
        <w:t>VILLE CPT, PAYS DE DESTINATION</w:t>
      </w:r>
      <w:r w:rsidRPr="00952B9D">
        <w:rPr>
          <w:rFonts w:cs="Arial"/>
          <w:bCs/>
          <w:szCs w:val="20"/>
        </w:rPr>
        <w:t>].</w:t>
      </w:r>
      <w:r w:rsidR="00DF546B" w:rsidRPr="00952B9D">
        <w:rPr>
          <w:rFonts w:cs="Arial"/>
          <w:bCs/>
          <w:szCs w:val="20"/>
        </w:rPr>
        <w:t xml:space="preserve"> </w:t>
      </w:r>
    </w:p>
    <w:p w:rsidR="00952B9D" w:rsidRPr="005B37D4" w:rsidRDefault="00952B9D" w:rsidP="00F66356">
      <w:pPr>
        <w:rPr>
          <w:rFonts w:cs="Arial"/>
          <w:bCs/>
          <w:szCs w:val="20"/>
          <w:highlight w:val="red"/>
        </w:rPr>
      </w:pPr>
    </w:p>
    <w:p w:rsidR="00C45847" w:rsidRDefault="0036529A" w:rsidP="00F66356">
      <w:r w:rsidRPr="00952B9D">
        <w:t>Les livraisons partielles ne sont pas autorisées, sauf si une autorisation écrite a été obtenue a</w:t>
      </w:r>
      <w:r w:rsidR="00952B9D">
        <w:t>uprès de l’acheteur de l’UNFPA.</w:t>
      </w:r>
    </w:p>
    <w:p w:rsidR="00952B9D" w:rsidRDefault="00952B9D" w:rsidP="00F66356"/>
    <w:p w:rsidR="00C45847" w:rsidRDefault="00C45847" w:rsidP="00F66356">
      <w:r>
        <w:t xml:space="preserve">Le Fournisseur </w:t>
      </w:r>
      <w:r w:rsidR="00106315">
        <w:t xml:space="preserve">devra </w:t>
      </w:r>
      <w:r>
        <w:t xml:space="preserve">accepter les changements ou les annulations des bons de commande, </w:t>
      </w:r>
      <w:r w:rsidR="0036529A">
        <w:t>à condition</w:t>
      </w:r>
      <w:r>
        <w:t xml:space="preserve"> que l’UNFPA donne une notification écrite dans un délai raisonnable et qu’aucun coût de production n’a encore été</w:t>
      </w:r>
      <w:r w:rsidR="00C55B32">
        <w:t xml:space="preserve"> engagé</w:t>
      </w:r>
      <w:r>
        <w:t>.</w:t>
      </w:r>
    </w:p>
    <w:p w:rsidR="00C45847" w:rsidRDefault="00C45847" w:rsidP="00F66356"/>
    <w:p w:rsidR="00E3090E" w:rsidRDefault="00E3090E" w:rsidP="00F66356">
      <w:r>
        <w:t>Pour chaque bon de commande, le Fournisseur</w:t>
      </w:r>
      <w:r w:rsidR="00106315">
        <w:t xml:space="preserve"> devra</w:t>
      </w:r>
      <w:r>
        <w:t xml:space="preserve"> informer par e-mail </w:t>
      </w:r>
      <w:r w:rsidR="0036529A">
        <w:t xml:space="preserve">l’acheteur de </w:t>
      </w:r>
      <w:r>
        <w:t>l’UNFPA de tout changement concernant la date de livraison –</w:t>
      </w:r>
      <w:r w:rsidR="00952B9D">
        <w:t xml:space="preserve"> d</w:t>
      </w:r>
      <w:r w:rsidR="001618C0">
        <w:t xml:space="preserve">ate </w:t>
      </w:r>
      <w:r>
        <w:t>estimée de départ (ETD),</w:t>
      </w:r>
      <w:r w:rsidR="001618C0">
        <w:t xml:space="preserve"> </w:t>
      </w:r>
      <w:r w:rsidR="00952B9D">
        <w:t>d</w:t>
      </w:r>
      <w:r w:rsidR="001618C0">
        <w:t>ate</w:t>
      </w:r>
      <w:r>
        <w:t xml:space="preserve"> effective de départ (ATD),</w:t>
      </w:r>
      <w:r w:rsidR="001618C0">
        <w:t xml:space="preserve"> </w:t>
      </w:r>
      <w:r w:rsidR="00952B9D">
        <w:t>d</w:t>
      </w:r>
      <w:r w:rsidR="001618C0">
        <w:t>ate</w:t>
      </w:r>
      <w:r>
        <w:t xml:space="preserve"> estimée d’arrivée (ETA) et</w:t>
      </w:r>
      <w:r w:rsidR="001618C0">
        <w:t xml:space="preserve"> </w:t>
      </w:r>
      <w:r w:rsidR="00952B9D">
        <w:t>d</w:t>
      </w:r>
      <w:r w:rsidR="001618C0">
        <w:t>ate</w:t>
      </w:r>
      <w:r>
        <w:t xml:space="preserve"> effective </w:t>
      </w:r>
      <w:r>
        <w:lastRenderedPageBreak/>
        <w:t>d’arrivée (ATA) – et</w:t>
      </w:r>
      <w:r w:rsidR="00106315">
        <w:t xml:space="preserve"> devra</w:t>
      </w:r>
      <w:r>
        <w:t xml:space="preserve"> mettre à jour le si</w:t>
      </w:r>
      <w:r w:rsidR="00356F79">
        <w:t>te web du système de suivi des</w:t>
      </w:r>
      <w:r>
        <w:t xml:space="preserve"> commande</w:t>
      </w:r>
      <w:r w:rsidR="00356F79">
        <w:t>s</w:t>
      </w:r>
      <w:r>
        <w:t xml:space="preserve"> (OTS) de l’UNFPA (</w:t>
      </w:r>
      <w:hyperlink r:id="rId12" w:history="1">
        <w:r w:rsidRPr="0011219A">
          <w:t>http://shipping.unfpa.dk/supots</w:t>
        </w:r>
      </w:hyperlink>
      <w:r>
        <w:t xml:space="preserve">) en conséquence. Si le bon de commande prévoit une inspection avant </w:t>
      </w:r>
      <w:r w:rsidR="00AF6D95">
        <w:rPr>
          <w:rFonts w:cs="Arial"/>
          <w:bCs/>
          <w:szCs w:val="20"/>
        </w:rPr>
        <w:t>expédition</w:t>
      </w:r>
      <w:r>
        <w:t xml:space="preserve">, </w:t>
      </w:r>
      <w:r w:rsidR="00AD7F55">
        <w:t xml:space="preserve">le Fournisseur </w:t>
      </w:r>
      <w:r w:rsidR="00106315">
        <w:t xml:space="preserve">devra </w:t>
      </w:r>
      <w:r w:rsidR="00AD7F55">
        <w:t>mettre à jour la date d’inspection dans l’OTS.</w:t>
      </w:r>
      <w:r w:rsidR="00952B9D">
        <w:t xml:space="preserve"> </w:t>
      </w:r>
      <w:r w:rsidR="00E9377E" w:rsidRPr="00E9377E">
        <w:rPr>
          <w:highlight w:val="cyan"/>
        </w:rPr>
        <w:t>L’ATD et l’ATA indiquées doivent correspondre au connaissement maritime ou à la lettre de transport aérien.</w:t>
      </w:r>
    </w:p>
    <w:p w:rsidR="00AD7F55" w:rsidRDefault="00AD7F55" w:rsidP="00F66356"/>
    <w:p w:rsidR="00AD7F55" w:rsidRDefault="00AD7F55" w:rsidP="00F66356">
      <w:r>
        <w:t>Pour chaque bon de commande, le Fournisseur</w:t>
      </w:r>
      <w:r w:rsidR="00E9377E">
        <w:t xml:space="preserve"> devra</w:t>
      </w:r>
      <w:r>
        <w:t xml:space="preserve"> scanner et envoyer par e-mail </w:t>
      </w:r>
      <w:r w:rsidR="00457770">
        <w:t xml:space="preserve">une déclaration d’expédition au moment de l’envoi du chargement. La déclaration d’expédition </w:t>
      </w:r>
      <w:r w:rsidR="00106315">
        <w:t xml:space="preserve">devra </w:t>
      </w:r>
      <w:r w:rsidR="00457770">
        <w:t>contenir les informations suivantes :</w:t>
      </w:r>
    </w:p>
    <w:p w:rsidR="00457770" w:rsidRDefault="00457770" w:rsidP="00F66356"/>
    <w:p w:rsidR="00457770" w:rsidRDefault="00E9377E" w:rsidP="00457770">
      <w:pPr>
        <w:pStyle w:val="ListParagraph"/>
        <w:numPr>
          <w:ilvl w:val="0"/>
          <w:numId w:val="3"/>
        </w:numPr>
      </w:pPr>
      <w:r>
        <w:t>La référence</w:t>
      </w:r>
      <w:r w:rsidR="00457770">
        <w:t xml:space="preserve"> du bon de commande,</w:t>
      </w:r>
    </w:p>
    <w:p w:rsidR="00457770" w:rsidRDefault="00457770" w:rsidP="00457770">
      <w:pPr>
        <w:pStyle w:val="ListParagraph"/>
        <w:numPr>
          <w:ilvl w:val="0"/>
          <w:numId w:val="3"/>
        </w:numPr>
      </w:pPr>
      <w:r>
        <w:t>Le type et la quantité de Biens,</w:t>
      </w:r>
    </w:p>
    <w:p w:rsidR="00457770" w:rsidRDefault="00457770" w:rsidP="00457770">
      <w:pPr>
        <w:pStyle w:val="ListParagraph"/>
        <w:numPr>
          <w:ilvl w:val="0"/>
          <w:numId w:val="3"/>
        </w:numPr>
      </w:pPr>
      <w:r>
        <w:t>La valeur des Biens</w:t>
      </w:r>
      <w:r w:rsidR="00A23EFB">
        <w:t xml:space="preserve"> figurant sur la facture</w:t>
      </w:r>
      <w:r>
        <w:t>,</w:t>
      </w:r>
    </w:p>
    <w:p w:rsidR="00457770" w:rsidRDefault="00457770" w:rsidP="00457770">
      <w:pPr>
        <w:pStyle w:val="ListParagraph"/>
        <w:numPr>
          <w:ilvl w:val="0"/>
          <w:numId w:val="3"/>
        </w:numPr>
      </w:pPr>
      <w:r>
        <w:t>Le nom du transitaire,</w:t>
      </w:r>
    </w:p>
    <w:p w:rsidR="00457770" w:rsidRDefault="00E9377E" w:rsidP="00457770">
      <w:pPr>
        <w:pStyle w:val="ListParagraph"/>
        <w:numPr>
          <w:ilvl w:val="0"/>
          <w:numId w:val="3"/>
        </w:numPr>
      </w:pPr>
      <w:r>
        <w:t xml:space="preserve">La date </w:t>
      </w:r>
      <w:r w:rsidR="00457770">
        <w:t>de départ du port d’origine,</w:t>
      </w:r>
    </w:p>
    <w:p w:rsidR="00457770" w:rsidRDefault="00457770" w:rsidP="00457770">
      <w:pPr>
        <w:pStyle w:val="ListParagraph"/>
        <w:numPr>
          <w:ilvl w:val="0"/>
          <w:numId w:val="3"/>
        </w:numPr>
      </w:pPr>
      <w:r>
        <w:t>Le nom du navire ou</w:t>
      </w:r>
      <w:r w:rsidR="00E9377E">
        <w:t xml:space="preserve"> du moyen de transport</w:t>
      </w:r>
      <w:r>
        <w:t>,</w:t>
      </w:r>
    </w:p>
    <w:p w:rsidR="00457770" w:rsidRDefault="00457770" w:rsidP="00457770">
      <w:pPr>
        <w:pStyle w:val="ListParagraph"/>
        <w:numPr>
          <w:ilvl w:val="0"/>
          <w:numId w:val="3"/>
        </w:numPr>
      </w:pPr>
      <w:r>
        <w:t>Le(s) numéro(s) de connaissement,</w:t>
      </w:r>
    </w:p>
    <w:p w:rsidR="00457770" w:rsidRDefault="00457770" w:rsidP="00457770">
      <w:pPr>
        <w:pStyle w:val="ListParagraph"/>
        <w:numPr>
          <w:ilvl w:val="0"/>
          <w:numId w:val="3"/>
        </w:numPr>
      </w:pPr>
      <w:r>
        <w:t>L’heure d’</w:t>
      </w:r>
      <w:r w:rsidR="00E9377E">
        <w:t>arrivée au port de déchargement,</w:t>
      </w:r>
    </w:p>
    <w:p w:rsidR="00E9377E" w:rsidRPr="00D04F14" w:rsidRDefault="00E9377E" w:rsidP="00457770">
      <w:pPr>
        <w:pStyle w:val="ListParagraph"/>
        <w:numPr>
          <w:ilvl w:val="0"/>
          <w:numId w:val="3"/>
        </w:numPr>
        <w:rPr>
          <w:highlight w:val="cyan"/>
        </w:rPr>
      </w:pPr>
      <w:r w:rsidRPr="00D04F14">
        <w:rPr>
          <w:highlight w:val="cyan"/>
        </w:rPr>
        <w:t>La capture d’écran de la mise à jour de l’OTS, indiquant les informations de livraison actualisées (ETD, ETA, ATD et ATA)</w:t>
      </w:r>
    </w:p>
    <w:p w:rsidR="00457770" w:rsidRDefault="00457770" w:rsidP="00457770"/>
    <w:p w:rsidR="00457770" w:rsidRDefault="000B7B35" w:rsidP="00457770">
      <w:r>
        <w:t xml:space="preserve">Le Fournisseur </w:t>
      </w:r>
      <w:r w:rsidR="00106315">
        <w:t xml:space="preserve">devra </w:t>
      </w:r>
      <w:r>
        <w:t>envoyer les copies des documents par e-mail à l’acheteur de l’UNFPA dès que possi</w:t>
      </w:r>
      <w:r w:rsidR="00597710">
        <w:t>ble pour accélérer les procédures</w:t>
      </w:r>
      <w:r>
        <w:t xml:space="preserve"> de dédouanement et de paiement.</w:t>
      </w:r>
    </w:p>
    <w:p w:rsidR="000B7B35" w:rsidRDefault="000B7B35" w:rsidP="00457770"/>
    <w:p w:rsidR="000B7B35" w:rsidRDefault="000B7B35" w:rsidP="00457770">
      <w:r>
        <w:t>Le Fournisseur est responsable de l’obtention, à sa propre charge, de toute licence d’exportation ou de toute autre autorisation officielle et d’effectuer toutes les formalités douanières concernant l’exportation des Biens.</w:t>
      </w:r>
    </w:p>
    <w:p w:rsidR="000B7B35" w:rsidRDefault="000B7B35" w:rsidP="00457770"/>
    <w:p w:rsidR="000B7B35" w:rsidRDefault="00207D1E" w:rsidP="00207D1E">
      <w:r w:rsidRPr="00207D1E">
        <w:t>En cas d’envoi par voie aérienne, le fournisseur</w:t>
      </w:r>
      <w:r w:rsidR="00106315">
        <w:t xml:space="preserve"> devra</w:t>
      </w:r>
      <w:r w:rsidRPr="00207D1E">
        <w:t xml:space="preserve"> faire en sorte que la livraison finale ne</w:t>
      </w:r>
      <w:r w:rsidR="00597710">
        <w:t xml:space="preserve"> soit</w:t>
      </w:r>
      <w:r w:rsidRPr="00207D1E">
        <w:t xml:space="preserve"> pas </w:t>
      </w:r>
      <w:r w:rsidR="00597710">
        <w:t>effectuée un week-</w:t>
      </w:r>
      <w:r w:rsidRPr="00207D1E">
        <w:t xml:space="preserve">end ou un jour férié local. S’il est impossible de faire autrement, l’UNFPA devra être prévenu </w:t>
      </w:r>
      <w:r w:rsidR="00597710">
        <w:t xml:space="preserve">au moins </w:t>
      </w:r>
      <w:r w:rsidRPr="00207D1E">
        <w:t>trois jours à l’avance.</w:t>
      </w:r>
    </w:p>
    <w:p w:rsidR="00207D1E" w:rsidRDefault="00207D1E" w:rsidP="00207D1E"/>
    <w:p w:rsidR="00207D1E" w:rsidRDefault="00207D1E" w:rsidP="00207D1E">
      <w:r>
        <w:t>En cas d’envo</w:t>
      </w:r>
      <w:r w:rsidR="000F4A53">
        <w:t>i</w:t>
      </w:r>
      <w:r>
        <w:t xml:space="preserve"> dans une destination difficile ou en situation de guerre, l’UNFPA </w:t>
      </w:r>
      <w:r w:rsidR="00106315">
        <w:t xml:space="preserve">pourra </w:t>
      </w:r>
      <w:r>
        <w:t>décider d’attribuer le transport à un transitaire que</w:t>
      </w:r>
      <w:r w:rsidR="000F4A53">
        <w:t xml:space="preserve"> l’UNFPA aura</w:t>
      </w:r>
      <w:r>
        <w:t xml:space="preserve"> désigné. Le cas échéant, le Fournisseur sera informé en conséquence et les </w:t>
      </w:r>
      <w:r w:rsidR="00401751">
        <w:t xml:space="preserve">détails des </w:t>
      </w:r>
      <w:r>
        <w:t xml:space="preserve">arrangements spécifiques </w:t>
      </w:r>
      <w:r w:rsidR="00401751">
        <w:t xml:space="preserve">figureront </w:t>
      </w:r>
      <w:r>
        <w:t>dans les bons de commande respectifs.</w:t>
      </w:r>
    </w:p>
    <w:p w:rsidR="00207D1E" w:rsidRDefault="00207D1E" w:rsidP="00207D1E"/>
    <w:p w:rsidR="00207D1E" w:rsidRDefault="00207D1E" w:rsidP="005D2DE6">
      <w:pPr>
        <w:pStyle w:val="Heading1"/>
        <w:numPr>
          <w:ilvl w:val="0"/>
          <w:numId w:val="1"/>
        </w:numPr>
        <w:rPr>
          <w:i/>
        </w:rPr>
      </w:pPr>
      <w:bookmarkStart w:id="12" w:name="_Toc369859056"/>
      <w:r>
        <w:t xml:space="preserve">FRET </w:t>
      </w:r>
      <w:r w:rsidRPr="00F66356">
        <w:rPr>
          <w:i/>
          <w:highlight w:val="yellow"/>
        </w:rPr>
        <w:t>[SUPPRIMER SI NÉCESSAIRE]</w:t>
      </w:r>
      <w:bookmarkEnd w:id="12"/>
    </w:p>
    <w:p w:rsidR="005D2DE6" w:rsidRDefault="005D2DE6" w:rsidP="005D2DE6"/>
    <w:p w:rsidR="005D2DE6" w:rsidRDefault="00597710" w:rsidP="005D2DE6">
      <w:r>
        <w:t>Le Fournisseur</w:t>
      </w:r>
      <w:r w:rsidR="00D04F14">
        <w:t xml:space="preserve"> devra</w:t>
      </w:r>
      <w:r>
        <w:t xml:space="preserve"> fourni</w:t>
      </w:r>
      <w:r w:rsidR="00F16570">
        <w:t xml:space="preserve">r </w:t>
      </w:r>
      <w:r w:rsidR="00106315">
        <w:t xml:space="preserve">à l’UNFPA </w:t>
      </w:r>
      <w:r w:rsidR="00F16570">
        <w:t>un</w:t>
      </w:r>
      <w:r w:rsidR="005D2DE6">
        <w:t xml:space="preserve"> devis de fret </w:t>
      </w:r>
      <w:r w:rsidR="00401751">
        <w:t xml:space="preserve">ayant force obligatoire </w:t>
      </w:r>
      <w:r w:rsidR="005D2DE6">
        <w:t>pour chaque bon de commande.</w:t>
      </w:r>
      <w:r w:rsidR="00D04F14">
        <w:t xml:space="preserve"> Le devis de fret devra contenir les informations suivantes :</w:t>
      </w:r>
    </w:p>
    <w:p w:rsidR="00D04F14" w:rsidRDefault="00D04F14" w:rsidP="005D2DE6"/>
    <w:p w:rsidR="00D04F14" w:rsidRDefault="00F72535" w:rsidP="00D04F14">
      <w:pPr>
        <w:pStyle w:val="ListParagraph"/>
        <w:numPr>
          <w:ilvl w:val="0"/>
          <w:numId w:val="18"/>
        </w:numPr>
      </w:pPr>
      <w:r>
        <w:t>Le nombre de semaines pour que les Biens soient prêts pour l’inspection</w:t>
      </w:r>
      <w:r w:rsidR="00106315">
        <w:t xml:space="preserve"> à partir de la réception du bon de commande ;</w:t>
      </w:r>
    </w:p>
    <w:p w:rsidR="00F72535" w:rsidRDefault="00F72535" w:rsidP="00D04F14">
      <w:pPr>
        <w:pStyle w:val="ListParagraph"/>
        <w:numPr>
          <w:ilvl w:val="0"/>
          <w:numId w:val="18"/>
        </w:numPr>
      </w:pPr>
      <w:r>
        <w:t xml:space="preserve">Ville dans laquelle aura lieu l’inspection </w:t>
      </w:r>
      <w:r w:rsidR="00106315">
        <w:t xml:space="preserve">avant expédition des </w:t>
      </w:r>
      <w:r>
        <w:t>produits, ainsi que l’adresse du</w:t>
      </w:r>
      <w:r w:rsidR="00106315">
        <w:t xml:space="preserve"> site d’inspection, si possible ;</w:t>
      </w:r>
    </w:p>
    <w:p w:rsidR="00F72535" w:rsidRDefault="00F72535" w:rsidP="00D04F14">
      <w:pPr>
        <w:pStyle w:val="ListParagraph"/>
        <w:numPr>
          <w:ilvl w:val="0"/>
          <w:numId w:val="18"/>
        </w:numPr>
      </w:pPr>
      <w:r>
        <w:t>Le nombre de semaines entre la réception du bon de commande et l’ETD</w:t>
      </w:r>
      <w:r w:rsidR="00106315">
        <w:t>;</w:t>
      </w:r>
    </w:p>
    <w:p w:rsidR="00F72535" w:rsidRDefault="00F72535" w:rsidP="00D04F14">
      <w:pPr>
        <w:pStyle w:val="ListParagraph"/>
        <w:numPr>
          <w:ilvl w:val="0"/>
          <w:numId w:val="18"/>
        </w:numPr>
      </w:pPr>
      <w:r>
        <w:t>Le nombre de conteneurs nécessaire pour les Biens,</w:t>
      </w:r>
    </w:p>
    <w:p w:rsidR="00F72535" w:rsidRDefault="00F72535" w:rsidP="00D04F14">
      <w:pPr>
        <w:pStyle w:val="ListParagraph"/>
        <w:numPr>
          <w:ilvl w:val="0"/>
          <w:numId w:val="18"/>
        </w:numPr>
      </w:pPr>
      <w:r>
        <w:t>Le port de transit</w:t>
      </w:r>
      <w:r w:rsidR="00106315">
        <w:t> ;</w:t>
      </w:r>
    </w:p>
    <w:p w:rsidR="00F72535" w:rsidRDefault="00F72535" w:rsidP="00D04F14">
      <w:pPr>
        <w:pStyle w:val="ListParagraph"/>
        <w:numPr>
          <w:ilvl w:val="0"/>
          <w:numId w:val="18"/>
        </w:numPr>
      </w:pPr>
      <w:r>
        <w:t>Le port de destination</w:t>
      </w:r>
      <w:r w:rsidR="00106315">
        <w:t> ;</w:t>
      </w:r>
    </w:p>
    <w:p w:rsidR="00F72535" w:rsidRDefault="00106315" w:rsidP="00D04F14">
      <w:pPr>
        <w:pStyle w:val="ListParagraph"/>
        <w:numPr>
          <w:ilvl w:val="0"/>
          <w:numId w:val="18"/>
        </w:numPr>
      </w:pPr>
      <w:r>
        <w:t>La durée de transit ;</w:t>
      </w:r>
    </w:p>
    <w:p w:rsidR="004C157C" w:rsidRDefault="004C157C" w:rsidP="00D04F14">
      <w:pPr>
        <w:pStyle w:val="ListParagraph"/>
        <w:numPr>
          <w:ilvl w:val="0"/>
          <w:numId w:val="18"/>
        </w:numPr>
      </w:pPr>
      <w:r>
        <w:t>La fréquence des départs</w:t>
      </w:r>
      <w:r w:rsidR="00106315">
        <w:t> ;</w:t>
      </w:r>
    </w:p>
    <w:p w:rsidR="00F72535" w:rsidRDefault="00106315" w:rsidP="00D04F14">
      <w:pPr>
        <w:pStyle w:val="ListParagraph"/>
        <w:numPr>
          <w:ilvl w:val="0"/>
          <w:numId w:val="18"/>
        </w:numPr>
      </w:pPr>
      <w:r>
        <w:t>L’itinéraire prévu ;</w:t>
      </w:r>
    </w:p>
    <w:p w:rsidR="004C157C" w:rsidRDefault="004C157C" w:rsidP="00D04F14">
      <w:pPr>
        <w:pStyle w:val="ListParagraph"/>
        <w:numPr>
          <w:ilvl w:val="0"/>
          <w:numId w:val="18"/>
        </w:numPr>
      </w:pPr>
      <w:r>
        <w:t>Le nom du transitaire</w:t>
      </w:r>
      <w:r w:rsidR="00106315">
        <w:t> ;</w:t>
      </w:r>
    </w:p>
    <w:p w:rsidR="004C157C" w:rsidRDefault="004C157C" w:rsidP="00D04F14">
      <w:pPr>
        <w:pStyle w:val="ListParagraph"/>
        <w:numPr>
          <w:ilvl w:val="0"/>
          <w:numId w:val="18"/>
        </w:numPr>
      </w:pPr>
      <w:r>
        <w:t>Le nom du transporteur</w:t>
      </w:r>
      <w:r w:rsidR="00106315">
        <w:t> ;</w:t>
      </w:r>
    </w:p>
    <w:p w:rsidR="004C157C" w:rsidRDefault="004C157C" w:rsidP="00D04F14">
      <w:pPr>
        <w:pStyle w:val="ListParagraph"/>
        <w:numPr>
          <w:ilvl w:val="0"/>
          <w:numId w:val="18"/>
        </w:numPr>
      </w:pPr>
      <w:r>
        <w:t>Le volume d’envoi (en mètre cub</w:t>
      </w:r>
      <w:r w:rsidR="00106315">
        <w:t>es), le poids et les dimensions ;</w:t>
      </w:r>
    </w:p>
    <w:p w:rsidR="004C157C" w:rsidRDefault="004C157C" w:rsidP="00D04F14">
      <w:pPr>
        <w:pStyle w:val="ListParagraph"/>
        <w:numPr>
          <w:ilvl w:val="0"/>
          <w:numId w:val="18"/>
        </w:numPr>
      </w:pPr>
      <w:r>
        <w:lastRenderedPageBreak/>
        <w:t>Le nombre et le type de conteneur pour le transport maritime</w:t>
      </w:r>
      <w:r w:rsidR="00106315">
        <w:t> ;</w:t>
      </w:r>
    </w:p>
    <w:p w:rsidR="00D04F14" w:rsidRDefault="00865D54" w:rsidP="005D2DE6">
      <w:pPr>
        <w:pStyle w:val="ListParagraph"/>
        <w:numPr>
          <w:ilvl w:val="0"/>
          <w:numId w:val="18"/>
        </w:numPr>
      </w:pPr>
      <w:r>
        <w:t>La durée de validité du devis (minimum 45 jours).</w:t>
      </w:r>
    </w:p>
    <w:p w:rsidR="005D2DE6" w:rsidRDefault="005D2DE6" w:rsidP="005D2DE6"/>
    <w:p w:rsidR="005D2DE6" w:rsidRDefault="005D2DE6" w:rsidP="005D2DE6">
      <w:r>
        <w:t>Pour les devis de fret inférieurs à 50.000 USD, le Fournisseur est responsable de la sélection du transitaire et de l’organisation du transport jusqu’à la destination finale à un prix compétitif et doit payer les frais de transport directement au transitaire.</w:t>
      </w:r>
    </w:p>
    <w:p w:rsidR="005D2DE6" w:rsidRDefault="005D2DE6" w:rsidP="005D2DE6"/>
    <w:p w:rsidR="005D2DE6" w:rsidRDefault="005D2DE6" w:rsidP="005D2DE6">
      <w:r>
        <w:t xml:space="preserve">Pour les devis de fret supérieurs à 50.000 USD, l’UNFPA compare le devis du Fournisseur avec </w:t>
      </w:r>
      <w:r w:rsidR="00334E2A">
        <w:t>les accords à long terme</w:t>
      </w:r>
      <w:r w:rsidR="00527DF4">
        <w:t xml:space="preserve"> de fret de l’ONU et sélectionne l’option la moins chère, sous réserve que les conditions soient</w:t>
      </w:r>
      <w:r w:rsidR="00453BBC">
        <w:t xml:space="preserve"> identiques</w:t>
      </w:r>
      <w:r w:rsidR="00527DF4">
        <w:t>. Si l’UNFPA choisit le devis du Fournisseur, ce dernier est responsable de l’organisation du transport du fret jusqu’à la destination finale, et doit payer les frais de transport directement au transitaire.</w:t>
      </w:r>
    </w:p>
    <w:p w:rsidR="00527DF4" w:rsidRDefault="00527DF4" w:rsidP="005D2DE6"/>
    <w:p w:rsidR="00527DF4" w:rsidRDefault="00527DF4" w:rsidP="005D2DE6">
      <w:r>
        <w:t xml:space="preserve">Le Fournisseur doit transmettre à l’UNFPA le poids </w:t>
      </w:r>
      <w:r w:rsidR="00106315">
        <w:t>et le volume (en mètre cube, m</w:t>
      </w:r>
      <w:r w:rsidR="00106315" w:rsidRPr="00106315">
        <w:rPr>
          <w:vertAlign w:val="superscript"/>
        </w:rPr>
        <w:t>3</w:t>
      </w:r>
      <w:r>
        <w:t xml:space="preserve">) précis </w:t>
      </w:r>
      <w:r w:rsidR="004D34D5">
        <w:t>afin que l’UNFPA puiss</w:t>
      </w:r>
      <w:r w:rsidR="00B24BA9">
        <w:t>e demander un devis de fret</w:t>
      </w:r>
      <w:r w:rsidR="00453BBC">
        <w:t xml:space="preserve"> définitif</w:t>
      </w:r>
      <w:r w:rsidR="004D34D5">
        <w:t xml:space="preserve"> au</w:t>
      </w:r>
      <w:r w:rsidR="00106315">
        <w:t>x</w:t>
      </w:r>
      <w:r w:rsidR="004D34D5">
        <w:t xml:space="preserve"> transitaire</w:t>
      </w:r>
      <w:r w:rsidR="00106315">
        <w:t>s</w:t>
      </w:r>
      <w:r w:rsidR="004D34D5">
        <w:t xml:space="preserve"> </w:t>
      </w:r>
      <w:r w:rsidR="00453BBC">
        <w:t xml:space="preserve">avec qui un </w:t>
      </w:r>
      <w:r w:rsidR="00334E2A">
        <w:t>accord à long terme</w:t>
      </w:r>
      <w:r w:rsidR="00453BBC">
        <w:t xml:space="preserve"> a été passé</w:t>
      </w:r>
      <w:r w:rsidR="004D34D5">
        <w:t>.</w:t>
      </w:r>
      <w:r w:rsidR="00B24BA9">
        <w:t xml:space="preserve"> Si </w:t>
      </w:r>
      <w:r w:rsidR="00743FFA">
        <w:t xml:space="preserve">l’UNFPA </w:t>
      </w:r>
      <w:r w:rsidR="001F1A1C">
        <w:t>confie le transport à un autre transitaire</w:t>
      </w:r>
      <w:r w:rsidR="00743FFA">
        <w:t xml:space="preserve">, </w:t>
      </w:r>
      <w:r w:rsidR="00B24BA9">
        <w:t>et que les frais de transport sont plus élevés</w:t>
      </w:r>
      <w:r w:rsidR="00743FFA">
        <w:t xml:space="preserve"> que le devis</w:t>
      </w:r>
      <w:r w:rsidR="00B24BA9">
        <w:t xml:space="preserve"> </w:t>
      </w:r>
      <w:r w:rsidR="00743FFA">
        <w:t>parce que le Fournisseur a communiqué un poids et un volume incorrects, le Fournisseur</w:t>
      </w:r>
      <w:r w:rsidR="00893527">
        <w:t xml:space="preserve"> sera</w:t>
      </w:r>
      <w:r w:rsidR="003E6013">
        <w:t xml:space="preserve"> tenu de</w:t>
      </w:r>
      <w:r w:rsidR="00743FFA">
        <w:t xml:space="preserve"> rembourser la différence entre les frais de transp</w:t>
      </w:r>
      <w:r w:rsidR="001F1A1C">
        <w:t>ort réels et les frais figurant</w:t>
      </w:r>
      <w:r w:rsidR="00743FFA">
        <w:t xml:space="preserve"> dans le devis.</w:t>
      </w:r>
    </w:p>
    <w:p w:rsidR="005D3D2D" w:rsidRDefault="005D3D2D" w:rsidP="005D2DE6"/>
    <w:p w:rsidR="000B49B3" w:rsidRDefault="00334E2A" w:rsidP="005D2DE6">
      <w:r>
        <w:t>Le Fournisseur devra</w:t>
      </w:r>
      <w:r w:rsidR="002E68F8">
        <w:t xml:space="preserve"> toujours </w:t>
      </w:r>
      <w:r>
        <w:t>proposer des conteneur</w:t>
      </w:r>
      <w:r w:rsidR="00285109">
        <w:t xml:space="preserve">s </w:t>
      </w:r>
      <w:r>
        <w:t xml:space="preserve">pleins </w:t>
      </w:r>
      <w:r w:rsidR="00285109">
        <w:t>(FCL) dans le devis, sauf spécifications contraire</w:t>
      </w:r>
      <w:r>
        <w:t>s</w:t>
      </w:r>
      <w:r w:rsidR="00285109">
        <w:t xml:space="preserve">. Le Fournisseur </w:t>
      </w:r>
      <w:r w:rsidR="000B49B3">
        <w:t>doit négocier le trajet le plus rentable et le plus direct avec le transitaire.</w:t>
      </w:r>
    </w:p>
    <w:p w:rsidR="000B49B3" w:rsidRDefault="000B49B3" w:rsidP="005D2DE6"/>
    <w:p w:rsidR="000B49B3" w:rsidRDefault="000B49B3" w:rsidP="005D2DE6">
      <w:r>
        <w:t>Le devis</w:t>
      </w:r>
      <w:r w:rsidR="001F1A1C">
        <w:t xml:space="preserve"> de fret du Fournisseur figure</w:t>
      </w:r>
      <w:r w:rsidR="00893527">
        <w:t>ra</w:t>
      </w:r>
      <w:r>
        <w:t xml:space="preserve"> dans le bon de commande correspondant, mais seul le coût réel</w:t>
      </w:r>
      <w:r w:rsidR="007C1585">
        <w:t xml:space="preserve"> </w:t>
      </w:r>
      <w:r w:rsidR="00893527">
        <w:t xml:space="preserve">devra </w:t>
      </w:r>
      <w:r w:rsidR="002573A5">
        <w:t xml:space="preserve">être facturé à l’UNFPA, sous réserve que le coût réel </w:t>
      </w:r>
      <w:r w:rsidR="001F1A1C">
        <w:t>soit</w:t>
      </w:r>
      <w:r w:rsidR="002573A5">
        <w:t> moins élevé que le coût figurant dans le devis.</w:t>
      </w:r>
    </w:p>
    <w:p w:rsidR="002573A5" w:rsidRDefault="002573A5" w:rsidP="005D2DE6"/>
    <w:p w:rsidR="002573A5" w:rsidRDefault="002573A5" w:rsidP="00473833">
      <w:r>
        <w:t>Le Fournisseur</w:t>
      </w:r>
      <w:r w:rsidR="00893527">
        <w:t xml:space="preserve"> devra</w:t>
      </w:r>
      <w:r>
        <w:t xml:space="preserve"> fournir </w:t>
      </w:r>
      <w:r w:rsidR="0083059B">
        <w:t xml:space="preserve">à l’UNFPA </w:t>
      </w:r>
      <w:r>
        <w:t>les factures de fret</w:t>
      </w:r>
      <w:r w:rsidR="00AE6239">
        <w:t xml:space="preserve"> effectives</w:t>
      </w:r>
      <w:r>
        <w:t xml:space="preserve"> ainsi que les autres documents d’</w:t>
      </w:r>
      <w:r w:rsidR="001140C5">
        <w:t>expédition</w:t>
      </w:r>
      <w:r w:rsidR="0037082C">
        <w:t>, qui</w:t>
      </w:r>
      <w:r w:rsidR="0083059B">
        <w:t xml:space="preserve"> feront partie des documents de paiement. L’UNFPA paiera au Fournisseur le montant facturé, dans la limite du prix figurant dans le devis de fret établi par le Fournisseur. </w:t>
      </w:r>
      <w:r w:rsidR="0037082C">
        <w:t xml:space="preserve">En conséquence, </w:t>
      </w:r>
      <w:r w:rsidR="00473833">
        <w:t>si les frais de transport facturés sont plus élevés que dans le devis</w:t>
      </w:r>
      <w:r w:rsidR="003C6DB2">
        <w:t xml:space="preserve">, le Fournisseur </w:t>
      </w:r>
      <w:r w:rsidR="00893527">
        <w:t xml:space="preserve">devra </w:t>
      </w:r>
      <w:r w:rsidR="001140C5">
        <w:t>payer</w:t>
      </w:r>
      <w:r w:rsidR="003C6DB2">
        <w:t xml:space="preserve"> la différence</w:t>
      </w:r>
      <w:r w:rsidR="002B2324">
        <w:t>. Si les frais de transport facturés sont moins élevés que dans le devis, l’UNFPA ne paiera que</w:t>
      </w:r>
      <w:r w:rsidR="00334E2A">
        <w:t xml:space="preserve"> les frais de transport facturés</w:t>
      </w:r>
      <w:r w:rsidR="002B2324">
        <w:t>.</w:t>
      </w:r>
    </w:p>
    <w:p w:rsidR="003B151C" w:rsidRDefault="003B151C" w:rsidP="00473833"/>
    <w:p w:rsidR="003B151C" w:rsidRDefault="001425A6" w:rsidP="00473833">
      <w:r>
        <w:t>Si</w:t>
      </w:r>
      <w:r w:rsidR="00893527">
        <w:t xml:space="preserve"> le</w:t>
      </w:r>
      <w:r>
        <w:t xml:space="preserve"> </w:t>
      </w:r>
      <w:r w:rsidR="00893527">
        <w:t>Fournisseur bénéficie</w:t>
      </w:r>
      <w:r>
        <w:t xml:space="preserve"> d’arrangements spéciaux avec des transitaires</w:t>
      </w:r>
      <w:r w:rsidR="00893527">
        <w:t xml:space="preserve"> et ne peu</w:t>
      </w:r>
      <w:r w:rsidR="002250B4">
        <w:t>t fournir</w:t>
      </w:r>
      <w:r>
        <w:t xml:space="preserve"> les factures de fret finales</w:t>
      </w:r>
      <w:r w:rsidR="001140C5">
        <w:t xml:space="preserve"> en temps voulu</w:t>
      </w:r>
      <w:r w:rsidR="002250B4">
        <w:t xml:space="preserve">, le Fournisseur </w:t>
      </w:r>
      <w:r w:rsidR="00893527">
        <w:t xml:space="preserve">devra </w:t>
      </w:r>
      <w:r w:rsidR="002250B4">
        <w:t xml:space="preserve">faire parvenir à l’UNFPA une déclaration écrite indiquant que les frais de transport facturés à l’UNFPA sont réels. </w:t>
      </w:r>
      <w:r w:rsidR="002C1311">
        <w:t xml:space="preserve">Le Fournisseur </w:t>
      </w:r>
      <w:r w:rsidR="00893527">
        <w:t xml:space="preserve">devra </w:t>
      </w:r>
      <w:r w:rsidR="002C1311">
        <w:t xml:space="preserve">ensuite faire parvenir la facture du transitaire dès qu’elle </w:t>
      </w:r>
      <w:r w:rsidR="00893527">
        <w:t xml:space="preserve">sera </w:t>
      </w:r>
      <w:r w:rsidR="002C1311">
        <w:t>disponible.</w:t>
      </w:r>
    </w:p>
    <w:p w:rsidR="002C1311" w:rsidRDefault="002C1311" w:rsidP="00473833"/>
    <w:p w:rsidR="002C1311" w:rsidRDefault="00816EC8" w:rsidP="00473833">
      <w:r w:rsidRPr="0068047E">
        <w:t xml:space="preserve">L’UNFPA </w:t>
      </w:r>
      <w:r w:rsidR="00F56498" w:rsidRPr="0068047E">
        <w:t>réalise régulièrement des vérifications aléatoires des frais de transport facturés pour s’assurer que</w:t>
      </w:r>
      <w:r w:rsidR="0068047E">
        <w:t xml:space="preserve"> les prix</w:t>
      </w:r>
      <w:r w:rsidR="0037082C">
        <w:t xml:space="preserve"> facturés</w:t>
      </w:r>
      <w:r w:rsidR="0068047E">
        <w:t xml:space="preserve"> </w:t>
      </w:r>
      <w:r w:rsidR="00914A30">
        <w:t>so</w:t>
      </w:r>
      <w:r w:rsidR="0068047E">
        <w:t>nt alignés sur ceux du marché</w:t>
      </w:r>
      <w:r w:rsidR="00F56498" w:rsidRPr="0068047E">
        <w:t>.</w:t>
      </w:r>
    </w:p>
    <w:p w:rsidR="0068047E" w:rsidRDefault="0068047E" w:rsidP="00473833"/>
    <w:p w:rsidR="0068047E" w:rsidRDefault="001140C5" w:rsidP="0068047E">
      <w:pPr>
        <w:pStyle w:val="Heading1"/>
        <w:numPr>
          <w:ilvl w:val="0"/>
          <w:numId w:val="1"/>
        </w:numPr>
        <w:rPr>
          <w:rFonts w:eastAsia="MS Gothic"/>
          <w:i/>
        </w:rPr>
      </w:pPr>
      <w:bookmarkStart w:id="13" w:name="_Toc369859057"/>
      <w:r>
        <w:rPr>
          <w:rFonts w:eastAsia="MS Gothic"/>
        </w:rPr>
        <w:t>PÉRIODE DE SURESTARIE GRATUITE</w:t>
      </w:r>
      <w:r w:rsidR="00334E2A">
        <w:rPr>
          <w:rFonts w:eastAsia="MS Gothic"/>
        </w:rPr>
        <w:t xml:space="preserve"> (CONTENEURS DE LOCATION</w:t>
      </w:r>
      <w:r w:rsidR="0020446C">
        <w:rPr>
          <w:rFonts w:eastAsia="MS Gothic"/>
        </w:rPr>
        <w:t xml:space="preserve">) </w:t>
      </w:r>
      <w:r w:rsidR="0020446C" w:rsidRPr="0020446C">
        <w:rPr>
          <w:rFonts w:eastAsia="MS Gothic"/>
          <w:i/>
          <w:highlight w:val="yellow"/>
        </w:rPr>
        <w:t>[SUPPRIMER SI NÉCESSAIRE]</w:t>
      </w:r>
      <w:bookmarkEnd w:id="13"/>
    </w:p>
    <w:p w:rsidR="0020446C" w:rsidRDefault="0020446C" w:rsidP="0020446C">
      <w:pPr>
        <w:rPr>
          <w:rFonts w:eastAsia="MS Gothic" w:cstheme="majorBidi"/>
          <w:b/>
          <w:bCs/>
          <w:szCs w:val="28"/>
        </w:rPr>
      </w:pPr>
    </w:p>
    <w:p w:rsidR="0020446C" w:rsidRDefault="0020446C" w:rsidP="0020446C">
      <w:r>
        <w:t>Le transitaire du Fournisseur doit aider l’UNFPA à obtenir des journées de surestarie gratuites auprès du port de livraison</w:t>
      </w:r>
      <w:r w:rsidR="00334E2A">
        <w:t xml:space="preserve"> pour les conteneurs de location</w:t>
      </w:r>
      <w:r>
        <w:t>.</w:t>
      </w:r>
      <w:r w:rsidR="000E7B36">
        <w:t xml:space="preserve"> À</w:t>
      </w:r>
      <w:r>
        <w:t xml:space="preserve"> la demande de l’UNFPA, le transitaire du Fournisseur doit intervenir auprès des autorités portuaires pour augmenter le nombre de jours de surestarie gratuits.</w:t>
      </w:r>
    </w:p>
    <w:p w:rsidR="001140C5" w:rsidRDefault="001140C5" w:rsidP="0020446C"/>
    <w:p w:rsidR="001140C5" w:rsidRDefault="001140C5" w:rsidP="001140C5">
      <w:pPr>
        <w:pStyle w:val="Heading1"/>
        <w:numPr>
          <w:ilvl w:val="0"/>
          <w:numId w:val="1"/>
        </w:numPr>
      </w:pPr>
      <w:bookmarkStart w:id="14" w:name="_Toc369859058"/>
      <w:r>
        <w:t>NOTIFICATION DE RETARD</w:t>
      </w:r>
      <w:bookmarkEnd w:id="14"/>
    </w:p>
    <w:p w:rsidR="001140C5" w:rsidRDefault="001140C5" w:rsidP="001140C5"/>
    <w:p w:rsidR="0073663F" w:rsidRDefault="007E0ACC" w:rsidP="001140C5">
      <w:r>
        <w:t xml:space="preserve">En cas de retard de livraison, le Fournisseur </w:t>
      </w:r>
      <w:r w:rsidR="00893527">
        <w:t xml:space="preserve">devra </w:t>
      </w:r>
      <w:r>
        <w:t xml:space="preserve">immédiatement, et dans un délai maximum d’une semaine, avertir l’acheteur de l’UNFPA par e-mail, demandant une </w:t>
      </w:r>
      <w:r>
        <w:lastRenderedPageBreak/>
        <w:t>prorogation du délai de livraison, et indiquant clairement la nature du retard (documents à l’appui) ainsi que le nouveau délai de livraison proposé.</w:t>
      </w:r>
    </w:p>
    <w:p w:rsidR="007E0ACC" w:rsidRDefault="007E0ACC" w:rsidP="001140C5"/>
    <w:p w:rsidR="007E0ACC" w:rsidRPr="009137F1" w:rsidRDefault="008551BA" w:rsidP="001140C5">
      <w:pPr>
        <w:rPr>
          <w:rFonts w:ascii="Mangal" w:hAnsi="Mangal" w:cs="Mangal"/>
        </w:rPr>
      </w:pPr>
      <w:r>
        <w:t xml:space="preserve">L’acheteur de l’UNFPA examinera les faits et le nouveau délai de livraison, et prorogera le délai s’il juge que la prorogation est </w:t>
      </w:r>
      <w:r w:rsidRPr="008551BA">
        <w:t>justifiée</w:t>
      </w:r>
      <w:r>
        <w:t>. Les conclusions de l’acheteur seront finales</w:t>
      </w:r>
      <w:r w:rsidR="009137F1">
        <w:t>,</w:t>
      </w:r>
      <w:r w:rsidR="004A5EF6">
        <w:t xml:space="preserve"> et</w:t>
      </w:r>
      <w:r w:rsidR="009137F1">
        <w:t xml:space="preserve"> pourront être contestées par le Fournisseur,</w:t>
      </w:r>
      <w:r w:rsidR="004A5EF6">
        <w:t xml:space="preserve"> </w:t>
      </w:r>
      <w:r w:rsidR="00334E2A">
        <w:t xml:space="preserve">uniquement en vertu de son </w:t>
      </w:r>
      <w:r w:rsidR="009137F1">
        <w:t>droit d’appel</w:t>
      </w:r>
      <w:r w:rsidR="004A5EF6">
        <w:t xml:space="preserve"> </w:t>
      </w:r>
      <w:r w:rsidR="0016732B">
        <w:t>inscrit</w:t>
      </w:r>
      <w:r w:rsidR="000E7B36">
        <w:t xml:space="preserve"> </w:t>
      </w:r>
      <w:r w:rsidR="009137F1">
        <w:t>dans la clause d’arbitrage du contrat.</w:t>
      </w:r>
    </w:p>
    <w:p w:rsidR="00C941FD" w:rsidRDefault="00C941FD" w:rsidP="001140C5"/>
    <w:p w:rsidR="00C941FD" w:rsidRDefault="00893527" w:rsidP="001140C5">
      <w:pPr>
        <w:rPr>
          <w:rStyle w:val="Hyperlink"/>
        </w:rPr>
      </w:pPr>
      <w:r>
        <w:t>Le Fournisseur devra</w:t>
      </w:r>
      <w:r w:rsidR="00356F79">
        <w:t xml:space="preserve"> immédiatement mettre à jour </w:t>
      </w:r>
      <w:r w:rsidR="004A5EF6">
        <w:t xml:space="preserve">la nouvelle </w:t>
      </w:r>
      <w:r>
        <w:t xml:space="preserve">date </w:t>
      </w:r>
      <w:r w:rsidR="00356F79">
        <w:t xml:space="preserve">de livraison sur le site du système de suivi des commandes de l’UNFPA : </w:t>
      </w:r>
      <w:hyperlink r:id="rId13" w:history="1">
        <w:r w:rsidR="00356F79" w:rsidRPr="00D53834">
          <w:rPr>
            <w:rStyle w:val="Hyperlink"/>
          </w:rPr>
          <w:t>http://shipping.unfpa.dk/supots</w:t>
        </w:r>
      </w:hyperlink>
    </w:p>
    <w:p w:rsidR="00356F79" w:rsidRDefault="00356F79" w:rsidP="001140C5">
      <w:pPr>
        <w:rPr>
          <w:rStyle w:val="Hyperlink"/>
        </w:rPr>
      </w:pPr>
    </w:p>
    <w:p w:rsidR="00356F79" w:rsidRDefault="0073057B" w:rsidP="00356F79">
      <w:pPr>
        <w:pStyle w:val="Heading1"/>
        <w:numPr>
          <w:ilvl w:val="0"/>
          <w:numId w:val="1"/>
        </w:numPr>
      </w:pPr>
      <w:bookmarkStart w:id="15" w:name="_Toc369859059"/>
      <w:r>
        <w:t xml:space="preserve">RÉCEPTION </w:t>
      </w:r>
      <w:r w:rsidR="00356F79">
        <w:t>ET CONFIRMATION DES BONS DE COMMANDE</w:t>
      </w:r>
      <w:bookmarkEnd w:id="15"/>
    </w:p>
    <w:p w:rsidR="00356F79" w:rsidRDefault="00356F79" w:rsidP="00356F79"/>
    <w:p w:rsidR="00356F79" w:rsidRDefault="0073057B" w:rsidP="00356F79">
      <w:r w:rsidRPr="000E038D">
        <w:t xml:space="preserve">Le Fournisseur </w:t>
      </w:r>
      <w:r w:rsidR="00893527">
        <w:t xml:space="preserve">devra </w:t>
      </w:r>
      <w:r w:rsidRPr="000E038D">
        <w:t>envoyer</w:t>
      </w:r>
      <w:r w:rsidR="004A5EF6">
        <w:t xml:space="preserve"> à l’acheteur de l’UNFPA</w:t>
      </w:r>
      <w:r w:rsidRPr="000E038D">
        <w:t xml:space="preserve"> l’accusé de réception et l’acceptation du bon de commande de l’UNFPA </w:t>
      </w:r>
      <w:r w:rsidR="005737D0" w:rsidRPr="000E038D">
        <w:t>(par e-mail, fax ou courrier)</w:t>
      </w:r>
      <w:r w:rsidR="005737D0">
        <w:t xml:space="preserve"> </w:t>
      </w:r>
      <w:r w:rsidRPr="000E038D">
        <w:t xml:space="preserve">dans </w:t>
      </w:r>
      <w:r w:rsidRPr="00334E2A">
        <w:rPr>
          <w:b/>
          <w:u w:val="single"/>
        </w:rPr>
        <w:t>un délai de trois jours ouvrés</w:t>
      </w:r>
      <w:r w:rsidRPr="000E038D">
        <w:t xml:space="preserve"> (pour les commandes non urgentes) à compter de </w:t>
      </w:r>
      <w:r w:rsidR="005737D0">
        <w:t>la réception du bon de commande</w:t>
      </w:r>
      <w:r w:rsidR="00D74943" w:rsidRPr="000E038D">
        <w:t>.</w:t>
      </w:r>
    </w:p>
    <w:p w:rsidR="00334E2A" w:rsidRDefault="00334E2A" w:rsidP="00356F79"/>
    <w:p w:rsidR="00334E2A" w:rsidRDefault="00334E2A" w:rsidP="00356F79">
      <w:r w:rsidRPr="00334E2A">
        <w:rPr>
          <w:highlight w:val="cyan"/>
        </w:rPr>
        <w:t>Le Fournisseur devra confirmer que tous les articles fournis dans le cadre de l’accord à long terme proviennent de fabricant</w:t>
      </w:r>
      <w:r>
        <w:rPr>
          <w:highlight w:val="cyan"/>
        </w:rPr>
        <w:t>s</w:t>
      </w:r>
      <w:r w:rsidRPr="00334E2A">
        <w:rPr>
          <w:highlight w:val="cyan"/>
        </w:rPr>
        <w:t xml:space="preserve"> approuvés</w:t>
      </w:r>
      <w:r>
        <w:rPr>
          <w:highlight w:val="cyan"/>
        </w:rPr>
        <w:t>, conformément à</w:t>
      </w:r>
      <w:r w:rsidRPr="00334E2A">
        <w:rPr>
          <w:highlight w:val="cyan"/>
        </w:rPr>
        <w:t xml:space="preserve"> l’accord à long terme.</w:t>
      </w:r>
    </w:p>
    <w:p w:rsidR="005737D0" w:rsidRDefault="005737D0" w:rsidP="00356F79"/>
    <w:p w:rsidR="005737D0" w:rsidRDefault="005737D0" w:rsidP="00356F79">
      <w:r>
        <w:t xml:space="preserve">De plus, le Fournisseur </w:t>
      </w:r>
      <w:r w:rsidR="00893527">
        <w:t xml:space="preserve">devra </w:t>
      </w:r>
      <w:r>
        <w:t>inscrire</w:t>
      </w:r>
      <w:r w:rsidR="0016732B" w:rsidRPr="0016732B">
        <w:t xml:space="preserve"> </w:t>
      </w:r>
      <w:r w:rsidR="0016732B">
        <w:t>les informations de livraison (ETD, ETA, ATD et ATA) sur le site de l’</w:t>
      </w:r>
      <w:r>
        <w:t>OTS de l’UNFPA (</w:t>
      </w:r>
      <w:hyperlink r:id="rId14" w:history="1">
        <w:r w:rsidRPr="005737D0">
          <w:rPr>
            <w:rStyle w:val="Hyperlink"/>
          </w:rPr>
          <w:t>http://shipping.unfpa.dk/supots</w:t>
        </w:r>
      </w:hyperlink>
      <w:r w:rsidR="0016732B">
        <w:t>).</w:t>
      </w:r>
      <w:r w:rsidR="00700722">
        <w:t xml:space="preserve"> </w:t>
      </w:r>
      <w:r w:rsidR="00700722" w:rsidRPr="00700722">
        <w:rPr>
          <w:highlight w:val="cyan"/>
        </w:rPr>
        <w:t>L’ETD et l’ETA devront être inscrits immédiatement après la réception et l’acceptation du bon de commande. L’ATD et l’ATA doivent correspondre au connaissement maritime ou à la lettre de transport aérien.</w:t>
      </w:r>
      <w:r w:rsidR="0016732B">
        <w:t xml:space="preserve"> </w:t>
      </w:r>
      <w:r>
        <w:t xml:space="preserve">Si le bon de commande prévoit une inspection avant </w:t>
      </w:r>
      <w:r w:rsidR="00AF6D95">
        <w:rPr>
          <w:rFonts w:cs="Arial"/>
          <w:bCs/>
          <w:szCs w:val="20"/>
        </w:rPr>
        <w:t>expédition</w:t>
      </w:r>
      <w:r>
        <w:t>, le Fournisseur doit inscrire la date d’inspection dans l’OTS.</w:t>
      </w:r>
    </w:p>
    <w:p w:rsidR="004A5EF6" w:rsidRDefault="004A5EF6" w:rsidP="00356F79"/>
    <w:p w:rsidR="005737D0" w:rsidRDefault="005737D0" w:rsidP="00356F79">
      <w:pPr>
        <w:rPr>
          <w:i/>
        </w:rPr>
      </w:pPr>
      <w:r>
        <w:t>Tous les bons de commande de l’UNFPA doivent contenir la description du produit, l’adresse du con</w:t>
      </w:r>
      <w:r w:rsidR="001F2F99">
        <w:t xml:space="preserve">signataire, les instructions </w:t>
      </w:r>
      <w:r w:rsidR="004A5EF6">
        <w:t>d’expédition</w:t>
      </w:r>
      <w:r w:rsidR="001F2F99">
        <w:t xml:space="preserve"> ainsi que le nom, les numéros de téléphone et de fax et l’adresse e-mail de la personne</w:t>
      </w:r>
      <w:r w:rsidR="0016732B">
        <w:t>-ressource</w:t>
      </w:r>
      <w:r w:rsidR="001F2F99">
        <w:t xml:space="preserve"> du bureau régional. Si ces informations ne figurent pas clairement dans le bon de commande, le Fournisseur est tenu de contacter l’acheteur de l’UNFPA pour obtenir les informations manquantes. </w:t>
      </w:r>
      <w:r w:rsidR="001F2F99" w:rsidRPr="001F2F99">
        <w:rPr>
          <w:i/>
          <w:highlight w:val="yellow"/>
        </w:rPr>
        <w:t>[SUPPRIMER SI NÉCESSAIRE]</w:t>
      </w:r>
    </w:p>
    <w:p w:rsidR="001F2F99" w:rsidRDefault="001F2F99" w:rsidP="00356F79">
      <w:pPr>
        <w:rPr>
          <w:i/>
        </w:rPr>
      </w:pPr>
    </w:p>
    <w:p w:rsidR="001F2F99" w:rsidRDefault="001F2F99" w:rsidP="001F2F99">
      <w:pPr>
        <w:pStyle w:val="Heading1"/>
        <w:numPr>
          <w:ilvl w:val="0"/>
          <w:numId w:val="1"/>
        </w:numPr>
      </w:pPr>
      <w:bookmarkStart w:id="16" w:name="_Toc369859060"/>
      <w:r>
        <w:t>QUALITÉ DES BIENS ET DES SERVICES</w:t>
      </w:r>
      <w:bookmarkEnd w:id="16"/>
    </w:p>
    <w:p w:rsidR="001F2F99" w:rsidRDefault="001F2F99" w:rsidP="001F2F99"/>
    <w:p w:rsidR="001F2F99" w:rsidRDefault="001F2F99" w:rsidP="001F2F99">
      <w:pPr>
        <w:rPr>
          <w:rFonts w:eastAsia="MS Gothic"/>
          <w:i/>
        </w:rPr>
      </w:pPr>
      <w:r>
        <w:t xml:space="preserve">Le Fournisseur doit fournir </w:t>
      </w:r>
      <w:r w:rsidR="00DC2C58" w:rsidRPr="00DC2C58">
        <w:rPr>
          <w:highlight w:val="yellow"/>
        </w:rPr>
        <w:t>le/la/les</w:t>
      </w:r>
      <w:r w:rsidR="00DC2C58">
        <w:t xml:space="preserve"> </w:t>
      </w:r>
      <w:r w:rsidRPr="001F2F99">
        <w:rPr>
          <w:i/>
          <w:szCs w:val="20"/>
          <w:highlight w:val="yellow"/>
        </w:rPr>
        <w:t>[NOM DU PRODUIT OU DU SERVICE]</w:t>
      </w:r>
      <w:r>
        <w:rPr>
          <w:i/>
          <w:szCs w:val="20"/>
        </w:rPr>
        <w:t xml:space="preserve"> </w:t>
      </w:r>
      <w:r w:rsidR="00342DC6">
        <w:rPr>
          <w:szCs w:val="20"/>
        </w:rPr>
        <w:t>fabriqué</w:t>
      </w:r>
      <w:r w:rsidR="00342DC6" w:rsidRPr="00DC2C58">
        <w:rPr>
          <w:szCs w:val="20"/>
          <w:highlight w:val="yellow"/>
        </w:rPr>
        <w:t>(e/s)</w:t>
      </w:r>
      <w:r w:rsidR="00342DC6">
        <w:rPr>
          <w:szCs w:val="20"/>
        </w:rPr>
        <w:t xml:space="preserve"> par des fabricants listés dans cet Accord et approuvés selon </w:t>
      </w:r>
      <w:r w:rsidR="00342DC6" w:rsidRPr="00DC2C58">
        <w:rPr>
          <w:szCs w:val="20"/>
          <w:highlight w:val="yellow"/>
        </w:rPr>
        <w:t>[RÉFÉRENCE DE L’APPEL D’OFFRES UNFPA/CPH/AA/XXX]</w:t>
      </w:r>
      <w:r w:rsidR="00DC2C58">
        <w:rPr>
          <w:szCs w:val="20"/>
        </w:rPr>
        <w:t xml:space="preserve">, </w:t>
      </w:r>
      <w:r w:rsidR="004A5EF6">
        <w:rPr>
          <w:szCs w:val="20"/>
        </w:rPr>
        <w:t>en respectant les</w:t>
      </w:r>
      <w:r w:rsidR="00DC2C58">
        <w:rPr>
          <w:szCs w:val="20"/>
        </w:rPr>
        <w:t xml:space="preserve"> standards de qualité</w:t>
      </w:r>
      <w:r w:rsidR="00342DC6">
        <w:rPr>
          <w:szCs w:val="20"/>
        </w:rPr>
        <w:t xml:space="preserve">. </w:t>
      </w:r>
      <w:r w:rsidR="00DC2C58">
        <w:rPr>
          <w:szCs w:val="20"/>
        </w:rPr>
        <w:t xml:space="preserve">Les </w:t>
      </w:r>
      <w:r w:rsidR="00700722">
        <w:rPr>
          <w:szCs w:val="20"/>
        </w:rPr>
        <w:t>B</w:t>
      </w:r>
      <w:r w:rsidR="00DC2C58">
        <w:rPr>
          <w:szCs w:val="20"/>
        </w:rPr>
        <w:t>iens et les services ne provenant pas d’un fabricant qualifié doivent</w:t>
      </w:r>
      <w:r w:rsidR="00542E1C">
        <w:rPr>
          <w:szCs w:val="20"/>
        </w:rPr>
        <w:t xml:space="preserve"> être approuvés au préalable </w:t>
      </w:r>
      <w:r w:rsidR="00DC2C58">
        <w:rPr>
          <w:szCs w:val="20"/>
        </w:rPr>
        <w:t>par l’équipe d’assurance de</w:t>
      </w:r>
      <w:r w:rsidR="00542E1C">
        <w:rPr>
          <w:szCs w:val="20"/>
        </w:rPr>
        <w:t xml:space="preserve"> la qualité </w:t>
      </w:r>
      <w:r w:rsidR="009A146F">
        <w:rPr>
          <w:szCs w:val="20"/>
        </w:rPr>
        <w:t xml:space="preserve">(QA) </w:t>
      </w:r>
      <w:r w:rsidR="00542E1C">
        <w:rPr>
          <w:szCs w:val="20"/>
        </w:rPr>
        <w:t xml:space="preserve">de l’UNFPA. </w:t>
      </w:r>
      <w:r w:rsidR="00542E1C" w:rsidRPr="0020446C">
        <w:rPr>
          <w:rFonts w:eastAsia="MS Gothic"/>
          <w:i/>
          <w:highlight w:val="yellow"/>
        </w:rPr>
        <w:t>[SUPPRIMER SI NÉCESSAIRE]</w:t>
      </w:r>
    </w:p>
    <w:p w:rsidR="00542E1C" w:rsidRDefault="00542E1C" w:rsidP="001F2F99">
      <w:pPr>
        <w:rPr>
          <w:rFonts w:eastAsia="MS Gothic"/>
          <w:i/>
        </w:rPr>
      </w:pPr>
    </w:p>
    <w:p w:rsidR="00542E1C" w:rsidRDefault="00542E1C" w:rsidP="001F2F99">
      <w:r>
        <w:rPr>
          <w:rFonts w:eastAsia="MS Gothic"/>
        </w:rPr>
        <w:t xml:space="preserve">Le Fournisseur </w:t>
      </w:r>
      <w:r w:rsidR="00893527">
        <w:rPr>
          <w:rFonts w:eastAsia="MS Gothic"/>
        </w:rPr>
        <w:t xml:space="preserve">devra </w:t>
      </w:r>
      <w:r>
        <w:rPr>
          <w:rFonts w:eastAsia="MS Gothic"/>
        </w:rPr>
        <w:t>inform</w:t>
      </w:r>
      <w:r w:rsidR="00C145D1">
        <w:rPr>
          <w:rFonts w:eastAsia="MS Gothic"/>
        </w:rPr>
        <w:t xml:space="preserve">er l’UNFPA du renouvellement des </w:t>
      </w:r>
      <w:r>
        <w:rPr>
          <w:rFonts w:eastAsia="MS Gothic"/>
        </w:rPr>
        <w:t>certificat</w:t>
      </w:r>
      <w:r w:rsidR="00C145D1">
        <w:rPr>
          <w:rFonts w:eastAsia="MS Gothic"/>
        </w:rPr>
        <w:t>s</w:t>
      </w:r>
      <w:r>
        <w:rPr>
          <w:rFonts w:eastAsia="MS Gothic"/>
        </w:rPr>
        <w:t xml:space="preserve"> ISO ou </w:t>
      </w:r>
      <w:r w:rsidR="00AE7FF0">
        <w:t xml:space="preserve">de </w:t>
      </w:r>
      <w:r w:rsidR="00893527">
        <w:t>B</w:t>
      </w:r>
      <w:r w:rsidR="00AE7FF0">
        <w:t>onne pratique de fabrication (</w:t>
      </w:r>
      <w:r w:rsidR="00893527">
        <w:t>BPF</w:t>
      </w:r>
      <w:r w:rsidR="00AE7FF0">
        <w:rPr>
          <w:rFonts w:eastAsia="MS Gothic"/>
        </w:rPr>
        <w:t>)</w:t>
      </w:r>
      <w:r>
        <w:rPr>
          <w:rFonts w:eastAsia="MS Gothic"/>
        </w:rPr>
        <w:t xml:space="preserve"> des fabricants </w:t>
      </w:r>
      <w:r w:rsidR="0016732B">
        <w:rPr>
          <w:rFonts w:eastAsia="MS Gothic"/>
        </w:rPr>
        <w:t>approuvés</w:t>
      </w:r>
      <w:r>
        <w:rPr>
          <w:rFonts w:eastAsia="MS Gothic"/>
        </w:rPr>
        <w:t xml:space="preserve"> </w:t>
      </w:r>
      <w:r>
        <w:t xml:space="preserve">tout au long de la durée de cet Accord, y compris durant </w:t>
      </w:r>
      <w:r w:rsidR="00D54480">
        <w:t>s</w:t>
      </w:r>
      <w:r w:rsidR="00B62645">
        <w:t>a</w:t>
      </w:r>
      <w:r w:rsidR="00D54480">
        <w:t xml:space="preserve"> période de</w:t>
      </w:r>
      <w:r w:rsidR="00B62645">
        <w:t xml:space="preserve"> </w:t>
      </w:r>
      <w:r w:rsidR="008C5728">
        <w:t>prorogation</w:t>
      </w:r>
      <w:r w:rsidR="00B62645">
        <w:t>.</w:t>
      </w:r>
    </w:p>
    <w:p w:rsidR="00B62645" w:rsidRDefault="00B62645" w:rsidP="001F2F99"/>
    <w:p w:rsidR="00B62645" w:rsidRDefault="00B62645" w:rsidP="001F2F99">
      <w:pPr>
        <w:rPr>
          <w:rFonts w:eastAsia="MS Gothic"/>
          <w:i/>
        </w:rPr>
      </w:pPr>
      <w:r>
        <w:t xml:space="preserve">Le Fournisseur </w:t>
      </w:r>
      <w:r w:rsidR="00893527">
        <w:t xml:space="preserve">devra </w:t>
      </w:r>
      <w:r>
        <w:t>s’assurer que les Biens ont été produits</w:t>
      </w:r>
      <w:r w:rsidR="00C145D1">
        <w:t xml:space="preserve"> peu de temps avant l’envoi</w:t>
      </w:r>
      <w:r>
        <w:t xml:space="preserve"> et qu’ils disposent encore de 75% de leur durée de conservation au moment de la livraison au consignataire.</w:t>
      </w:r>
      <w:r w:rsidRPr="00B62645">
        <w:rPr>
          <w:rFonts w:eastAsia="MS Gothic"/>
          <w:i/>
          <w:highlight w:val="yellow"/>
        </w:rPr>
        <w:t xml:space="preserve"> </w:t>
      </w:r>
      <w:r w:rsidRPr="0020446C">
        <w:rPr>
          <w:rFonts w:eastAsia="MS Gothic"/>
          <w:i/>
          <w:highlight w:val="yellow"/>
        </w:rPr>
        <w:t>[SUPPRIMER SI NÉCESSAIRE]</w:t>
      </w:r>
    </w:p>
    <w:p w:rsidR="00B62645" w:rsidRDefault="00B62645" w:rsidP="001F2F99">
      <w:pPr>
        <w:rPr>
          <w:rFonts w:eastAsia="MS Gothic"/>
          <w:i/>
        </w:rPr>
      </w:pPr>
    </w:p>
    <w:p w:rsidR="00700722" w:rsidRDefault="00B62645" w:rsidP="001F2F99">
      <w:pPr>
        <w:rPr>
          <w:rFonts w:eastAsia="MS Gothic"/>
          <w:i/>
        </w:rPr>
      </w:pPr>
      <w:r>
        <w:t xml:space="preserve">Tous les Biens et </w:t>
      </w:r>
      <w:r w:rsidR="00893527">
        <w:t>s</w:t>
      </w:r>
      <w:r>
        <w:t xml:space="preserve">ervices livrés à l’UNFPA qui ne remplissent pas les critères énoncés dans cet Accord ou dans le bon de commande doivent être </w:t>
      </w:r>
      <w:r w:rsidR="008830F7">
        <w:t xml:space="preserve">rapidement </w:t>
      </w:r>
      <w:r>
        <w:t>remplacés par le Fournisseur,</w:t>
      </w:r>
      <w:r w:rsidR="008830F7">
        <w:t xml:space="preserve"> qui doit prendre en charge</w:t>
      </w:r>
      <w:r>
        <w:t xml:space="preserve"> le transport terrestre, maritime ou aérien et les coûts de destruction, </w:t>
      </w:r>
      <w:r w:rsidR="008830F7">
        <w:t xml:space="preserve">sans frais pour l’UNFPA. </w:t>
      </w:r>
      <w:r w:rsidR="008830F7" w:rsidRPr="0020446C">
        <w:rPr>
          <w:rFonts w:eastAsia="MS Gothic"/>
          <w:i/>
          <w:highlight w:val="yellow"/>
        </w:rPr>
        <w:t>[SUPPRIMER SI NÉCESSAIRE]</w:t>
      </w:r>
    </w:p>
    <w:p w:rsidR="00700722" w:rsidRDefault="00700722" w:rsidP="001F2F99"/>
    <w:p w:rsidR="00700722" w:rsidRDefault="00700722" w:rsidP="001F2F99">
      <w:r w:rsidRPr="00700722">
        <w:rPr>
          <w:highlight w:val="cyan"/>
        </w:rPr>
        <w:lastRenderedPageBreak/>
        <w:t xml:space="preserve">Afin de garantir que les Biens fournis proviennent de fabricants approuvés </w:t>
      </w:r>
      <w:r w:rsidR="00893527">
        <w:rPr>
          <w:highlight w:val="cyan"/>
        </w:rPr>
        <w:t xml:space="preserve">figurant dans </w:t>
      </w:r>
      <w:r w:rsidRPr="00700722">
        <w:rPr>
          <w:highlight w:val="cyan"/>
        </w:rPr>
        <w:t>cet Accord, le fabricant devra faire figurer son nom sur le produit ou sur l’emballage primaire du produit. Le fabricant devra aussi faire figurer son adresse sur le produit ou l’emballage primaire du produit. Le nom et l’adresse du fabricant indiqués sur le produit ou sur l’emballage primaire du produit devront correspondre au nom et à l’adresse du fabricant contenus dans cet Accord.</w:t>
      </w:r>
    </w:p>
    <w:p w:rsidR="00700722" w:rsidRDefault="00700722" w:rsidP="001F2F99"/>
    <w:p w:rsidR="008830F7" w:rsidRDefault="008830F7" w:rsidP="001F2F99">
      <w:r>
        <w:t xml:space="preserve">Si le Fournisseur décide de mettre un terme à la production d’un produit concerné par cet Accord, ou de modifier ses chaînes </w:t>
      </w:r>
      <w:r w:rsidR="00C145D1">
        <w:t>de production, il</w:t>
      </w:r>
      <w:r w:rsidR="00893527">
        <w:t xml:space="preserve"> devra</w:t>
      </w:r>
      <w:r>
        <w:t xml:space="preserve"> </w:t>
      </w:r>
      <w:r w:rsidR="00C145D1">
        <w:t xml:space="preserve">en informer </w:t>
      </w:r>
      <w:r>
        <w:t xml:space="preserve">l’UNFPA au moins 90 jours avant la date </w:t>
      </w:r>
      <w:r w:rsidR="00ED5F4B">
        <w:t>effective d’interruption afin que l’UNFPA puisse avoir suffisamment de temps pour trouver une solution de remplacement.</w:t>
      </w:r>
    </w:p>
    <w:p w:rsidR="00E47C06" w:rsidRDefault="00E47C06" w:rsidP="001F2F99"/>
    <w:p w:rsidR="00E47C06" w:rsidRDefault="00086144" w:rsidP="00175F8D">
      <w:pPr>
        <w:pStyle w:val="Heading1"/>
        <w:numPr>
          <w:ilvl w:val="0"/>
          <w:numId w:val="1"/>
        </w:numPr>
        <w:rPr>
          <w:rFonts w:eastAsia="MS Gothic"/>
          <w:i/>
        </w:rPr>
      </w:pPr>
      <w:bookmarkStart w:id="17" w:name="_Toc369859061"/>
      <w:r>
        <w:rPr>
          <w:rFonts w:eastAsia="MS Gothic"/>
        </w:rPr>
        <w:t xml:space="preserve">DÉCLARATION DES BIENS </w:t>
      </w:r>
      <w:r w:rsidRPr="0020446C">
        <w:rPr>
          <w:rFonts w:eastAsia="MS Gothic"/>
          <w:i/>
          <w:highlight w:val="yellow"/>
        </w:rPr>
        <w:t>[SUPPRIMER SI NÉCESSAIRE]</w:t>
      </w:r>
      <w:bookmarkEnd w:id="17"/>
    </w:p>
    <w:p w:rsidR="00086144" w:rsidRDefault="00086144" w:rsidP="00086144"/>
    <w:p w:rsidR="00175F8D" w:rsidRDefault="00086144" w:rsidP="00175F8D">
      <w:r>
        <w:t xml:space="preserve">À moins que les conditions de déclaration des Biens ne soient </w:t>
      </w:r>
      <w:r w:rsidR="00C318A0">
        <w:t>inclu</w:t>
      </w:r>
      <w:r w:rsidR="00700722">
        <w:t>s</w:t>
      </w:r>
      <w:r w:rsidR="00C318A0">
        <w:t>es</w:t>
      </w:r>
      <w:r>
        <w:t xml:space="preserve"> dans le bon de commande</w:t>
      </w:r>
      <w:r w:rsidR="00C318A0">
        <w:t xml:space="preserve">, le Fournisseur </w:t>
      </w:r>
      <w:r w:rsidR="00893527">
        <w:t xml:space="preserve">sera </w:t>
      </w:r>
      <w:r w:rsidR="00C318A0">
        <w:t>responsable de la déclaration des Biens concernés par cet Accord auprès des autorités compétentes du pays du consignataire. Un</w:t>
      </w:r>
      <w:r w:rsidR="00C145D1">
        <w:t>e</w:t>
      </w:r>
      <w:r w:rsidR="00C318A0">
        <w:t xml:space="preserve"> liste </w:t>
      </w:r>
      <w:r w:rsidR="00366B6A">
        <w:t xml:space="preserve">complète </w:t>
      </w:r>
      <w:r w:rsidR="00C318A0">
        <w:t>de déclaration par p</w:t>
      </w:r>
      <w:r w:rsidR="0016732B">
        <w:t>roduit</w:t>
      </w:r>
      <w:r w:rsidR="00930D5A">
        <w:t>, ainsi que</w:t>
      </w:r>
      <w:r w:rsidR="0016732B">
        <w:t xml:space="preserve"> ses mises à jour </w:t>
      </w:r>
      <w:r w:rsidR="00893527">
        <w:t xml:space="preserve">devra </w:t>
      </w:r>
      <w:r w:rsidR="00C318A0">
        <w:t xml:space="preserve">être remise par le Fournisseur </w:t>
      </w:r>
      <w:r w:rsidR="003827D6">
        <w:t xml:space="preserve">pour </w:t>
      </w:r>
      <w:r w:rsidR="00C318A0">
        <w:t>coordination.</w:t>
      </w:r>
    </w:p>
    <w:p w:rsidR="00E00E82" w:rsidRDefault="00E00E82" w:rsidP="00175F8D"/>
    <w:p w:rsidR="00E00E82" w:rsidRDefault="00E00E82" w:rsidP="00E00E82">
      <w:pPr>
        <w:pStyle w:val="Heading1"/>
        <w:numPr>
          <w:ilvl w:val="0"/>
          <w:numId w:val="1"/>
        </w:numPr>
        <w:rPr>
          <w:rFonts w:eastAsia="MS Gothic"/>
          <w:i/>
        </w:rPr>
      </w:pPr>
      <w:bookmarkStart w:id="18" w:name="_Toc369859062"/>
      <w:r>
        <w:t xml:space="preserve">CERTIFICAT DE STÉRILISATION </w:t>
      </w:r>
      <w:r w:rsidRPr="0020446C">
        <w:rPr>
          <w:rFonts w:eastAsia="MS Gothic"/>
          <w:i/>
          <w:highlight w:val="yellow"/>
        </w:rPr>
        <w:t>[SUPPRIMER SI NÉCESSAIRE]</w:t>
      </w:r>
      <w:bookmarkEnd w:id="18"/>
    </w:p>
    <w:p w:rsidR="00E00E82" w:rsidRDefault="00E00E82" w:rsidP="00E00E82"/>
    <w:p w:rsidR="00E00E82" w:rsidRPr="00700722" w:rsidRDefault="00D34888" w:rsidP="00E00E82">
      <w:r w:rsidRPr="00700722">
        <w:t>Tous les biens stériles ou à usage unique concernés par cet Accord</w:t>
      </w:r>
      <w:r w:rsidR="00893527">
        <w:t xml:space="preserve"> devront</w:t>
      </w:r>
      <w:r w:rsidRPr="00700722">
        <w:t xml:space="preserve"> êtr</w:t>
      </w:r>
      <w:r w:rsidR="0016732B" w:rsidRPr="00700722">
        <w:t>e accompagnés d’un certificat</w:t>
      </w:r>
      <w:r w:rsidRPr="00700722">
        <w:t xml:space="preserve"> de stérilisation valide durant l’envoi. Ce certificat </w:t>
      </w:r>
      <w:r w:rsidR="00893527">
        <w:t xml:space="preserve">devra </w:t>
      </w:r>
      <w:r w:rsidRPr="00700722">
        <w:t>mentionner la méthode de stérilisation.</w:t>
      </w:r>
    </w:p>
    <w:p w:rsidR="00D34888" w:rsidRDefault="00D34888" w:rsidP="00E00E82">
      <w:pPr>
        <w:rPr>
          <w:i/>
        </w:rPr>
      </w:pPr>
    </w:p>
    <w:p w:rsidR="00D34888" w:rsidRDefault="00D34888" w:rsidP="00D34888">
      <w:pPr>
        <w:pStyle w:val="Heading1"/>
        <w:numPr>
          <w:ilvl w:val="0"/>
          <w:numId w:val="1"/>
        </w:numPr>
        <w:rPr>
          <w:rFonts w:eastAsia="MS Gothic"/>
          <w:i/>
        </w:rPr>
      </w:pPr>
      <w:bookmarkStart w:id="19" w:name="_Toc369859063"/>
      <w:r>
        <w:t xml:space="preserve">ALIMENTATION ÉLECTRIQUE </w:t>
      </w:r>
      <w:r w:rsidRPr="0020446C">
        <w:rPr>
          <w:rFonts w:eastAsia="MS Gothic"/>
          <w:i/>
          <w:highlight w:val="yellow"/>
        </w:rPr>
        <w:t>[SUPPRIMER SI NÉCESSAIRE]</w:t>
      </w:r>
      <w:bookmarkEnd w:id="19"/>
    </w:p>
    <w:p w:rsidR="00D34888" w:rsidRDefault="00D34888" w:rsidP="00D34888"/>
    <w:p w:rsidR="00D34888" w:rsidRPr="00700722" w:rsidRDefault="00700722" w:rsidP="00D34888">
      <w:r>
        <w:t xml:space="preserve">Les produits électriques et </w:t>
      </w:r>
      <w:r w:rsidR="00157C51">
        <w:t xml:space="preserve">électroniques </w:t>
      </w:r>
      <w:r w:rsidR="00CD15CD">
        <w:t xml:space="preserve">devront </w:t>
      </w:r>
      <w:r w:rsidR="00157C51">
        <w:t>fonctionner sous la tension électrique en vigueur dans le pays de destination et devront être fournis avec les fiches et les prises électriques utilisées dans ledit pays. Ces informations seront spécifiées dans le bon de commande.</w:t>
      </w:r>
    </w:p>
    <w:p w:rsidR="00297139" w:rsidRDefault="00297139" w:rsidP="00D34888">
      <w:pPr>
        <w:rPr>
          <w:i/>
        </w:rPr>
      </w:pPr>
    </w:p>
    <w:p w:rsidR="00297139" w:rsidRDefault="00297139" w:rsidP="00297139">
      <w:pPr>
        <w:pStyle w:val="Heading1"/>
        <w:numPr>
          <w:ilvl w:val="0"/>
          <w:numId w:val="1"/>
        </w:numPr>
        <w:rPr>
          <w:rFonts w:eastAsia="MS Gothic"/>
          <w:i/>
        </w:rPr>
      </w:pPr>
      <w:bookmarkStart w:id="20" w:name="_Toc369859064"/>
      <w:r>
        <w:t xml:space="preserve">MANUELS ET NOTICES D’UTILISATION </w:t>
      </w:r>
      <w:r w:rsidRPr="0020446C">
        <w:rPr>
          <w:rFonts w:eastAsia="MS Gothic"/>
          <w:i/>
          <w:highlight w:val="yellow"/>
        </w:rPr>
        <w:t>[SUPPRIMER SI NÉCESSAIRE]</w:t>
      </w:r>
      <w:bookmarkEnd w:id="20"/>
    </w:p>
    <w:p w:rsidR="00297139" w:rsidRDefault="00297139" w:rsidP="00297139"/>
    <w:p w:rsidR="00297139" w:rsidRDefault="00893527" w:rsidP="00297139">
      <w:r>
        <w:t>Le Fournisseur devra</w:t>
      </w:r>
      <w:r w:rsidR="00297139">
        <w:t xml:space="preserve"> livrer les Biens mentionnés à</w:t>
      </w:r>
      <w:r w:rsidR="00297139" w:rsidRPr="0016732B">
        <w:rPr>
          <w:highlight w:val="yellow"/>
        </w:rPr>
        <w:t xml:space="preserve"> la/aux </w:t>
      </w:r>
      <w:r w:rsidR="00297139">
        <w:t>page</w:t>
      </w:r>
      <w:r w:rsidR="00297139" w:rsidRPr="0016732B">
        <w:rPr>
          <w:highlight w:val="yellow"/>
        </w:rPr>
        <w:t xml:space="preserve">(s) </w:t>
      </w:r>
      <w:r w:rsidR="00297139" w:rsidRPr="00297139">
        <w:rPr>
          <w:highlight w:val="yellow"/>
        </w:rPr>
        <w:t>No.</w:t>
      </w:r>
      <w:r w:rsidR="00297139">
        <w:t xml:space="preserve"> de cet Accord </w:t>
      </w:r>
      <w:r w:rsidR="00157C51">
        <w:t xml:space="preserve">accompagnés des </w:t>
      </w:r>
      <w:r w:rsidR="00297139">
        <w:t>manuels et les notices d’utilisation (indiquant les instructions pour l’installation, le montage, l’assemblage, l’utilisation, les conditions de stockage recommandées et l’entretien</w:t>
      </w:r>
      <w:r w:rsidR="00535644">
        <w:t>) en trois langues (anglais, espagnol et français).</w:t>
      </w:r>
    </w:p>
    <w:p w:rsidR="00535644" w:rsidRDefault="00535644" w:rsidP="00297139"/>
    <w:p w:rsidR="00535644" w:rsidRDefault="00535644" w:rsidP="00535644">
      <w:pPr>
        <w:pStyle w:val="Heading1"/>
        <w:numPr>
          <w:ilvl w:val="0"/>
          <w:numId w:val="1"/>
        </w:numPr>
        <w:rPr>
          <w:rFonts w:eastAsia="MS Gothic"/>
          <w:i/>
        </w:rPr>
      </w:pPr>
      <w:bookmarkStart w:id="21" w:name="_Toc369859065"/>
      <w:r>
        <w:t xml:space="preserve">GARANTIE STANDARD DU PRODUIT </w:t>
      </w:r>
      <w:r w:rsidRPr="00535644">
        <w:rPr>
          <w:rFonts w:eastAsia="MS Gothic"/>
          <w:i/>
          <w:highlight w:val="yellow"/>
        </w:rPr>
        <w:t>[SUPPRIMER SI NÉCESSAIRE]</w:t>
      </w:r>
      <w:bookmarkEnd w:id="21"/>
    </w:p>
    <w:p w:rsidR="00535644" w:rsidRDefault="00535644" w:rsidP="00535644"/>
    <w:p w:rsidR="00535644" w:rsidRDefault="00535644" w:rsidP="00535644">
      <w:r>
        <w:t>La garantie standard du produit est définie comme une garantie couvrant tout</w:t>
      </w:r>
      <w:r w:rsidR="00366B6A">
        <w:t xml:space="preserve"> dysfonctionnement du</w:t>
      </w:r>
      <w:r>
        <w:t xml:space="preserve"> produit ou </w:t>
      </w:r>
      <w:r w:rsidR="00F114FD">
        <w:t xml:space="preserve">de </w:t>
      </w:r>
      <w:r w:rsidR="00CD15CD">
        <w:t xml:space="preserve">ses </w:t>
      </w:r>
      <w:r>
        <w:t>composant</w:t>
      </w:r>
      <w:r w:rsidR="00F114FD">
        <w:t>s</w:t>
      </w:r>
      <w:r>
        <w:t xml:space="preserve"> du fait </w:t>
      </w:r>
      <w:r w:rsidR="00F114FD">
        <w:t xml:space="preserve">de </w:t>
      </w:r>
      <w:r>
        <w:t>défaut</w:t>
      </w:r>
      <w:r w:rsidR="00F114FD">
        <w:t>s</w:t>
      </w:r>
      <w:r>
        <w:t xml:space="preserve"> de fabrication, mais n</w:t>
      </w:r>
      <w:r w:rsidR="00366B6A">
        <w:t>’étant pas causé par</w:t>
      </w:r>
      <w:r>
        <w:t xml:space="preserve"> l’usure naturelle. Sauf indication contraire, tous les produits concernés par cet Accord doivent être accompagnés d’une garantie standard</w:t>
      </w:r>
      <w:r w:rsidR="005617B4">
        <w:t>, à l’exception des produits à usage unique</w:t>
      </w:r>
      <w:r>
        <w:t>.</w:t>
      </w:r>
    </w:p>
    <w:p w:rsidR="00433B80" w:rsidRDefault="00433B80" w:rsidP="00535644"/>
    <w:p w:rsidR="00433B80" w:rsidRDefault="001A1104" w:rsidP="00535644">
      <w:r>
        <w:t>Toutes les périodes de garantie doivent</w:t>
      </w:r>
      <w:r w:rsidR="006D5F3F">
        <w:t xml:space="preserve"> commencer</w:t>
      </w:r>
      <w:r>
        <w:t xml:space="preserve"> après la livraison de la dernière partie du système, conformément aux INCOTERMS 2010, à moins qu’un test d’acceptation ne soit effectué</w:t>
      </w:r>
      <w:r w:rsidR="00F672A3">
        <w:t xml:space="preserve"> par les utilisateurs finaux</w:t>
      </w:r>
      <w:r>
        <w:t>.</w:t>
      </w:r>
      <w:r w:rsidR="00F672A3">
        <w:t xml:space="preserve"> La </w:t>
      </w:r>
      <w:r w:rsidR="00F114FD">
        <w:t xml:space="preserve">réalisation satisfaisante </w:t>
      </w:r>
      <w:r w:rsidR="00F672A3">
        <w:t xml:space="preserve">des tests d’acceptation par les utilisateurs finaux sur l’ensemble du matériel marque le début de la période de garantie. </w:t>
      </w:r>
      <w:r w:rsidR="00BC45D5">
        <w:t>Si l’installation, le démarrage ou l’acceptation sont retardés par l’UNFPA ou les utilisate</w:t>
      </w:r>
      <w:r w:rsidR="001F3336">
        <w:t>urs finaux, la période de garantie sera réduite à deux mois</w:t>
      </w:r>
      <w:r w:rsidR="00946ED2">
        <w:t xml:space="preserve"> à compter de l’arrivée de la dernière partie du système.</w:t>
      </w:r>
    </w:p>
    <w:p w:rsidR="00A93818" w:rsidRDefault="00A93818" w:rsidP="00535644"/>
    <w:p w:rsidR="00A93818" w:rsidRDefault="008C0121" w:rsidP="00535644">
      <w:r>
        <w:lastRenderedPageBreak/>
        <w:t xml:space="preserve">Si durant la période </w:t>
      </w:r>
      <w:r w:rsidR="00946ED2">
        <w:t>de garantie tout ou partie des B</w:t>
      </w:r>
      <w:r>
        <w:t>iens concernés par cet Accord sont ju</w:t>
      </w:r>
      <w:r w:rsidR="000D7EC9">
        <w:t xml:space="preserve">gés défectueux ou non conformes,  L’UNFPA </w:t>
      </w:r>
      <w:r w:rsidR="00893527">
        <w:t xml:space="preserve">pourra </w:t>
      </w:r>
      <w:r w:rsidR="000D7EC9">
        <w:t xml:space="preserve">notifier par écrit le Fournisseur, qui </w:t>
      </w:r>
      <w:r w:rsidR="00893527">
        <w:t xml:space="preserve">devra </w:t>
      </w:r>
      <w:r w:rsidR="000D7EC9">
        <w:t>alors corriger le(s) défaut(s) ou le(s) non-conformité(s) rapidement et à ses propres frais. Si le(s) défaut(s) ou le(s) non-conformité(s) ne peuvent pas êt</w:t>
      </w:r>
      <w:r w:rsidR="00893527">
        <w:t>re corrigés, le Fournisseur devra</w:t>
      </w:r>
      <w:r w:rsidR="00366B6A">
        <w:t xml:space="preserve">, selon ce que choisit l’UNFPA, </w:t>
      </w:r>
      <w:r w:rsidR="000D7EC9">
        <w:t>soit re</w:t>
      </w:r>
      <w:r w:rsidR="00366B6A">
        <w:t>m</w:t>
      </w:r>
      <w:r w:rsidR="000D7EC9">
        <w:t>placer le matériel défectueux, soit rembourser rapidement l’UNFPA.</w:t>
      </w:r>
    </w:p>
    <w:p w:rsidR="000D7EC9" w:rsidRDefault="000D7EC9" w:rsidP="00535644"/>
    <w:p w:rsidR="000D7EC9" w:rsidRDefault="000D7EC9" w:rsidP="00535644">
      <w:r>
        <w:t xml:space="preserve">En signant cet Accord, le Fournisseur reconnait que le bénéfice </w:t>
      </w:r>
      <w:r w:rsidR="00B25CBE">
        <w:t>de toute garantie ou de</w:t>
      </w:r>
      <w:r w:rsidR="001D77D7">
        <w:t xml:space="preserve"> toute responsabilité </w:t>
      </w:r>
      <w:r w:rsidR="00B25CBE">
        <w:t xml:space="preserve">prise avec l’UNFPA </w:t>
      </w:r>
      <w:r w:rsidR="006D5F3F">
        <w:t>peut être transféré</w:t>
      </w:r>
      <w:r w:rsidR="00B25CBE">
        <w:t xml:space="preserve"> aux programmes partenaires, y compris aux clients </w:t>
      </w:r>
      <w:r w:rsidR="00946ED2">
        <w:t xml:space="preserve">externes bénéficiant </w:t>
      </w:r>
      <w:r w:rsidR="00B25CBE">
        <w:t>des Services d’Approvisionnement</w:t>
      </w:r>
      <w:r w:rsidR="00946ED2">
        <w:t xml:space="preserve"> de l’UNFPA</w:t>
      </w:r>
      <w:r w:rsidR="00B25CBE">
        <w:t>.</w:t>
      </w:r>
    </w:p>
    <w:p w:rsidR="008C5728" w:rsidRDefault="008C5728" w:rsidP="00535644"/>
    <w:p w:rsidR="008C5728" w:rsidRDefault="008C5728" w:rsidP="008C5728">
      <w:pPr>
        <w:pStyle w:val="Heading1"/>
        <w:numPr>
          <w:ilvl w:val="0"/>
          <w:numId w:val="1"/>
        </w:numPr>
        <w:rPr>
          <w:rFonts w:eastAsia="MS Gothic"/>
          <w:i/>
        </w:rPr>
      </w:pPr>
      <w:bookmarkStart w:id="22" w:name="_Toc369859066"/>
      <w:r>
        <w:t xml:space="preserve">SERVICE APRÈS-VENTE </w:t>
      </w:r>
      <w:r w:rsidRPr="00535644">
        <w:rPr>
          <w:rFonts w:eastAsia="MS Gothic"/>
          <w:i/>
          <w:highlight w:val="yellow"/>
        </w:rPr>
        <w:t>[SUPPRIMER SI NÉCESSAIRE]</w:t>
      </w:r>
      <w:bookmarkEnd w:id="22"/>
    </w:p>
    <w:p w:rsidR="008C5728" w:rsidRDefault="008C5728" w:rsidP="008C5728"/>
    <w:p w:rsidR="008C5728" w:rsidRDefault="008C5728" w:rsidP="008C5728">
      <w:r>
        <w:t>Une liste complète</w:t>
      </w:r>
      <w:r w:rsidR="00893527">
        <w:t xml:space="preserve">, ainsi que </w:t>
      </w:r>
      <w:r>
        <w:t>ses mises à jour durant toute la</w:t>
      </w:r>
      <w:r w:rsidR="00D54480">
        <w:t xml:space="preserve"> durée</w:t>
      </w:r>
      <w:r>
        <w:t xml:space="preserve"> de l’Accord, y compris durant </w:t>
      </w:r>
      <w:r w:rsidR="006D5F3F">
        <w:t>l</w:t>
      </w:r>
      <w:r>
        <w:t>a</w:t>
      </w:r>
      <w:r w:rsidR="00D54480">
        <w:t xml:space="preserve"> période de</w:t>
      </w:r>
      <w:r>
        <w:t xml:space="preserve"> prorogation, de tous les représentants locaux ou régionaux ou de tous les distributeurs du Fournisseur que l’UNFPA peut contacter </w:t>
      </w:r>
      <w:r w:rsidR="005617B4">
        <w:t xml:space="preserve">pour le </w:t>
      </w:r>
      <w:r>
        <w:t>service après-vente, incluant le service technique et les pièces détachées,</w:t>
      </w:r>
      <w:r w:rsidR="00893527">
        <w:t xml:space="preserve"> devra</w:t>
      </w:r>
      <w:r>
        <w:t xml:space="preserve"> être remise à l’UNFPA.</w:t>
      </w:r>
    </w:p>
    <w:p w:rsidR="008C5728" w:rsidRDefault="008C5728" w:rsidP="008C5728"/>
    <w:p w:rsidR="008C5728" w:rsidRDefault="00366B6A" w:rsidP="00D54480">
      <w:pPr>
        <w:pStyle w:val="Heading1"/>
        <w:numPr>
          <w:ilvl w:val="0"/>
          <w:numId w:val="1"/>
        </w:numPr>
        <w:rPr>
          <w:rFonts w:eastAsia="MS Gothic"/>
          <w:i/>
        </w:rPr>
      </w:pPr>
      <w:bookmarkStart w:id="23" w:name="_Toc369859067"/>
      <w:r>
        <w:t>FORMATION, INSTALLATION</w:t>
      </w:r>
      <w:r w:rsidR="00D54480">
        <w:t xml:space="preserve"> ET SUPPORT TECHNIQUE </w:t>
      </w:r>
      <w:r w:rsidR="00D54480" w:rsidRPr="00535644">
        <w:rPr>
          <w:rFonts w:eastAsia="MS Gothic"/>
          <w:i/>
          <w:highlight w:val="yellow"/>
        </w:rPr>
        <w:t>[SUPPRIMER SI NÉCESSAIRE]</w:t>
      </w:r>
      <w:bookmarkEnd w:id="23"/>
    </w:p>
    <w:p w:rsidR="00D54480" w:rsidRDefault="00D54480" w:rsidP="00D54480"/>
    <w:p w:rsidR="0075202D" w:rsidRDefault="00D54480" w:rsidP="00D54480">
      <w:r>
        <w:t>Il</w:t>
      </w:r>
      <w:r w:rsidR="00893527">
        <w:t xml:space="preserve"> pourra</w:t>
      </w:r>
      <w:r>
        <w:t xml:space="preserve"> être demandé au Fournisseur de fournir des services d’installation</w:t>
      </w:r>
      <w:r w:rsidR="0075202D">
        <w:t>, de configuration, de mise en service et de formation, ainsi qu’un support technique. Ces services</w:t>
      </w:r>
      <w:r w:rsidR="00893527">
        <w:t xml:space="preserve"> devront</w:t>
      </w:r>
      <w:r w:rsidR="0075202D">
        <w:t xml:space="preserve"> inclure au moins :</w:t>
      </w:r>
    </w:p>
    <w:p w:rsidR="0075202D" w:rsidRDefault="0075202D" w:rsidP="00D54480"/>
    <w:p w:rsidR="00D54480" w:rsidRDefault="0075202D" w:rsidP="0075202D">
      <w:pPr>
        <w:pStyle w:val="ListParagraph"/>
        <w:numPr>
          <w:ilvl w:val="0"/>
          <w:numId w:val="6"/>
        </w:numPr>
      </w:pPr>
      <w:r>
        <w:t>L’installation chez les utilisateurs finaux.</w:t>
      </w:r>
    </w:p>
    <w:p w:rsidR="0075202D" w:rsidRDefault="0075202D" w:rsidP="0075202D">
      <w:pPr>
        <w:pStyle w:val="ListParagraph"/>
        <w:numPr>
          <w:ilvl w:val="0"/>
          <w:numId w:val="6"/>
        </w:numPr>
      </w:pPr>
      <w:r>
        <w:t>La mise à disposition, bien avant l’installation, de la documentation relative aux conditions de pré-installation</w:t>
      </w:r>
      <w:r w:rsidRPr="0075202D">
        <w:t xml:space="preserve"> </w:t>
      </w:r>
      <w:r>
        <w:t>aux utilisateurs</w:t>
      </w:r>
      <w:r w:rsidRPr="0075202D">
        <w:t xml:space="preserve"> </w:t>
      </w:r>
      <w:r>
        <w:t>finaux.</w:t>
      </w:r>
    </w:p>
    <w:p w:rsidR="0075202D" w:rsidRDefault="0075202D" w:rsidP="0075202D">
      <w:pPr>
        <w:pStyle w:val="ListParagraph"/>
        <w:numPr>
          <w:ilvl w:val="0"/>
          <w:numId w:val="6"/>
        </w:numPr>
      </w:pPr>
      <w:r>
        <w:t xml:space="preserve">Des ateliers (séances pratiques) sur site </w:t>
      </w:r>
      <w:r w:rsidR="008816AF">
        <w:t>avec des experts dans le domaine pour mettre en place :</w:t>
      </w:r>
    </w:p>
    <w:p w:rsidR="008816AF" w:rsidRDefault="008816AF" w:rsidP="008816AF">
      <w:pPr>
        <w:pStyle w:val="ListParagraph"/>
        <w:numPr>
          <w:ilvl w:val="1"/>
          <w:numId w:val="6"/>
        </w:numPr>
      </w:pPr>
      <w:r>
        <w:t>La formation des utilisateurs – concernant l’utilisation de l’équipement, ses fonctionnalités et les procédures de sécurité ;</w:t>
      </w:r>
    </w:p>
    <w:p w:rsidR="008816AF" w:rsidRDefault="008816AF" w:rsidP="008816AF">
      <w:pPr>
        <w:pStyle w:val="ListParagraph"/>
        <w:numPr>
          <w:ilvl w:val="1"/>
          <w:numId w:val="6"/>
        </w:numPr>
      </w:pPr>
      <w:r>
        <w:t>La formation technique – concernant les principes techniques et l’environnement d’utilisation de l’équipement, les méthodes d’évaluation</w:t>
      </w:r>
      <w:r w:rsidR="00AE27CA">
        <w:t xml:space="preserve"> de ses fonctionnalités, l’entretien préventif et les interventions techniques de première ligne.</w:t>
      </w:r>
    </w:p>
    <w:p w:rsidR="00AE27CA" w:rsidRDefault="00AE27CA" w:rsidP="00AE27CA">
      <w:pPr>
        <w:pStyle w:val="ListParagraph"/>
        <w:numPr>
          <w:ilvl w:val="0"/>
          <w:numId w:val="6"/>
        </w:numPr>
      </w:pPr>
      <w:r>
        <w:t>La mise à disposition des supports de formation n</w:t>
      </w:r>
      <w:r w:rsidR="00387210">
        <w:t>écessaires comme les manuels d’</w:t>
      </w:r>
      <w:r>
        <w:t>opération, les manuels techniques, les plans, le matériel de calibration, les consommables, etc…</w:t>
      </w:r>
    </w:p>
    <w:p w:rsidR="001874E2" w:rsidRDefault="001874E2" w:rsidP="001874E2"/>
    <w:p w:rsidR="001874E2" w:rsidRDefault="003C5130" w:rsidP="001874E2">
      <w:r>
        <w:t xml:space="preserve">Il est préférable qu’un représentant local dans le pays de destination assure la formation, le service technique, l’entretien et le service de garantie. Le Fournisseur </w:t>
      </w:r>
      <w:r w:rsidR="00893527">
        <w:t xml:space="preserve">devra </w:t>
      </w:r>
      <w:r>
        <w:t>mettre à disposition un personnel qualifié pour le support technique.</w:t>
      </w:r>
    </w:p>
    <w:p w:rsidR="003C5130" w:rsidRDefault="003C5130" w:rsidP="001874E2"/>
    <w:p w:rsidR="003C5130" w:rsidRDefault="00DF7DD7" w:rsidP="001874E2">
      <w:r>
        <w:t>L’équipement doit comprendre tout le matériel d’assistance</w:t>
      </w:r>
      <w:r w:rsidR="006D5F3F">
        <w:t xml:space="preserve"> tel que</w:t>
      </w:r>
      <w:r>
        <w:t xml:space="preserve"> les manuels, les pilotes d’installation (sur CD-ROM) et les accessoires pour </w:t>
      </w:r>
      <w:r w:rsidR="006D5F3F">
        <w:t xml:space="preserve">assurer </w:t>
      </w:r>
      <w:r>
        <w:t>une efficacité optimale.</w:t>
      </w:r>
    </w:p>
    <w:p w:rsidR="00DF7DD7" w:rsidRDefault="00DF7DD7" w:rsidP="001874E2"/>
    <w:p w:rsidR="00DF7DD7" w:rsidRDefault="00DF7DD7" w:rsidP="00DF7DD7">
      <w:pPr>
        <w:pStyle w:val="Heading1"/>
        <w:numPr>
          <w:ilvl w:val="0"/>
          <w:numId w:val="1"/>
        </w:numPr>
        <w:rPr>
          <w:rFonts w:eastAsia="MS Gothic"/>
          <w:i/>
        </w:rPr>
      </w:pPr>
      <w:bookmarkStart w:id="24" w:name="_Toc369859068"/>
      <w:r>
        <w:t xml:space="preserve">SERVICE D’ENTRETIEN PRÉVENTIF </w:t>
      </w:r>
      <w:r>
        <w:rPr>
          <w:i/>
        </w:rPr>
        <w:t>[</w:t>
      </w:r>
      <w:r w:rsidRPr="00535644">
        <w:rPr>
          <w:rFonts w:eastAsia="MS Gothic"/>
          <w:i/>
          <w:highlight w:val="yellow"/>
        </w:rPr>
        <w:t>SUPPRIMER SI NÉCESSAIRE]</w:t>
      </w:r>
      <w:bookmarkEnd w:id="24"/>
    </w:p>
    <w:p w:rsidR="00DF7DD7" w:rsidRDefault="00DF7DD7" w:rsidP="00DF7DD7"/>
    <w:p w:rsidR="00DF7DD7" w:rsidRDefault="00DF7DD7" w:rsidP="00DF7DD7">
      <w:r>
        <w:t>Il</w:t>
      </w:r>
      <w:r w:rsidR="00893527">
        <w:t xml:space="preserve"> pourra</w:t>
      </w:r>
      <w:r>
        <w:t xml:space="preserve"> être demandé au Fournisseur d’assurer un service d’entretien préventif </w:t>
      </w:r>
      <w:r w:rsidR="00387210">
        <w:t>à un coût supplémentaire convenu</w:t>
      </w:r>
      <w:r w:rsidR="00370AE5">
        <w:t xml:space="preserve"> au cas par cas.</w:t>
      </w:r>
    </w:p>
    <w:p w:rsidR="00370AE5" w:rsidRDefault="00370AE5" w:rsidP="00DF7DD7"/>
    <w:p w:rsidR="00370AE5" w:rsidRDefault="00370AE5" w:rsidP="00370AE5">
      <w:pPr>
        <w:pStyle w:val="Heading1"/>
        <w:numPr>
          <w:ilvl w:val="0"/>
          <w:numId w:val="1"/>
        </w:numPr>
        <w:rPr>
          <w:rFonts w:eastAsia="MS Gothic"/>
          <w:i/>
        </w:rPr>
      </w:pPr>
      <w:bookmarkStart w:id="25" w:name="_Toc369859069"/>
      <w:r>
        <w:t>CONDITIONS TECHNIQUES RELATIVES AUX SITES DE FABRICATION</w:t>
      </w:r>
      <w:r w:rsidR="00223216">
        <w:t xml:space="preserve"> </w:t>
      </w:r>
      <w:r w:rsidR="00223216">
        <w:rPr>
          <w:i/>
        </w:rPr>
        <w:t>[</w:t>
      </w:r>
      <w:r w:rsidR="00223216" w:rsidRPr="00535644">
        <w:rPr>
          <w:rFonts w:eastAsia="MS Gothic"/>
          <w:i/>
          <w:highlight w:val="yellow"/>
        </w:rPr>
        <w:t>SUPPRIMER SI NÉCESSAIRE]</w:t>
      </w:r>
      <w:bookmarkEnd w:id="25"/>
    </w:p>
    <w:p w:rsidR="00223216" w:rsidRDefault="00223216" w:rsidP="00223216"/>
    <w:p w:rsidR="00223216" w:rsidRDefault="00D24073" w:rsidP="00223216">
      <w:r>
        <w:t>Un site de fabrication est un endroit où se déroule tout aspect de la fabrication de tout composant du produit final.</w:t>
      </w:r>
    </w:p>
    <w:p w:rsidR="00D24073" w:rsidRDefault="00D24073" w:rsidP="00223216"/>
    <w:p w:rsidR="00D24073" w:rsidRDefault="0097295C" w:rsidP="00223216">
      <w:r>
        <w:t>Le Fournisseur</w:t>
      </w:r>
      <w:r w:rsidR="00893527">
        <w:t xml:space="preserve"> devra</w:t>
      </w:r>
      <w:r>
        <w:t xml:space="preserve"> informer l’UNFPA du renouvellement de tous les </w:t>
      </w:r>
      <w:r w:rsidR="001A2A78">
        <w:t xml:space="preserve">certificats </w:t>
      </w:r>
      <w:r w:rsidR="00893527">
        <w:t>BPF</w:t>
      </w:r>
      <w:r w:rsidR="001A2A78">
        <w:t xml:space="preserve"> mentionnés dans la liste des sites de fabrication inclu</w:t>
      </w:r>
      <w:r w:rsidR="00DF0336">
        <w:t>s</w:t>
      </w:r>
      <w:r w:rsidR="001A2A78">
        <w:t>e dans la soumission.</w:t>
      </w:r>
    </w:p>
    <w:p w:rsidR="001A2A78" w:rsidRDefault="001A2A78" w:rsidP="00223216"/>
    <w:p w:rsidR="001A2A78" w:rsidRDefault="001A2A78" w:rsidP="00223216">
      <w:r>
        <w:t xml:space="preserve">L’UNFPA ou l’OMS </w:t>
      </w:r>
      <w:r w:rsidR="00893527">
        <w:t xml:space="preserve">devront </w:t>
      </w:r>
      <w:r w:rsidR="005D2503">
        <w:t>approuver tout changement de</w:t>
      </w:r>
      <w:r>
        <w:t xml:space="preserve"> site de fabrication. L’absence d’approbation préalable </w:t>
      </w:r>
      <w:r w:rsidR="00893527">
        <w:t xml:space="preserve">pourra </w:t>
      </w:r>
      <w:r>
        <w:t xml:space="preserve">entrainer </w:t>
      </w:r>
      <w:r w:rsidR="00C73B43">
        <w:t xml:space="preserve">la résiliation </w:t>
      </w:r>
      <w:r w:rsidR="00946ED2">
        <w:t xml:space="preserve">de l’Accord </w:t>
      </w:r>
      <w:r w:rsidR="005D2503">
        <w:t>et de toute commande en attente.</w:t>
      </w:r>
    </w:p>
    <w:p w:rsidR="005D2503" w:rsidRDefault="005D2503" w:rsidP="00223216"/>
    <w:p w:rsidR="005D2503" w:rsidRDefault="005D2503" w:rsidP="00223216">
      <w:r>
        <w:t xml:space="preserve">En cas de déménagement ou de remplacement des installations de fabrication, le Fournisseur </w:t>
      </w:r>
      <w:r w:rsidR="00893527">
        <w:t xml:space="preserve">devra </w:t>
      </w:r>
      <w:r>
        <w:t>en informer l’UNFPA et demander l’autorisation de fournir les Biens concernés par l’Accord depuis les nouvelles installations. Si</w:t>
      </w:r>
      <w:r w:rsidR="00387210">
        <w:t>,</w:t>
      </w:r>
      <w:r>
        <w:t xml:space="preserve"> après enquête concernant le statut GMP auprès de l’OMS, </w:t>
      </w:r>
      <w:r w:rsidR="00387210">
        <w:t xml:space="preserve">le changement est approuvé par l’UNFPA, </w:t>
      </w:r>
      <w:r>
        <w:t xml:space="preserve">l’autorisation </w:t>
      </w:r>
      <w:r w:rsidR="00893527">
        <w:t xml:space="preserve">dera </w:t>
      </w:r>
      <w:r w:rsidR="00387210">
        <w:t>accordée sous</w:t>
      </w:r>
      <w:r>
        <w:t xml:space="preserve"> </w:t>
      </w:r>
      <w:r w:rsidR="00387210">
        <w:t xml:space="preserve">forme de </w:t>
      </w:r>
      <w:r>
        <w:t>modification</w:t>
      </w:r>
      <w:r w:rsidR="00387210">
        <w:t xml:space="preserve"> formelle</w:t>
      </w:r>
      <w:r w:rsidR="00893527">
        <w:t xml:space="preserve"> du</w:t>
      </w:r>
      <w:r>
        <w:t xml:space="preserve"> contrat.</w:t>
      </w:r>
    </w:p>
    <w:p w:rsidR="006E3ADF" w:rsidRDefault="006E3ADF" w:rsidP="00223216"/>
    <w:p w:rsidR="006E3ADF" w:rsidRDefault="00BC7AEE" w:rsidP="006E3ADF">
      <w:pPr>
        <w:pStyle w:val="Heading1"/>
        <w:numPr>
          <w:ilvl w:val="0"/>
          <w:numId w:val="1"/>
        </w:numPr>
        <w:rPr>
          <w:rFonts w:eastAsia="MS Gothic"/>
          <w:i/>
        </w:rPr>
      </w:pPr>
      <w:bookmarkStart w:id="26" w:name="_Toc369859070"/>
      <w:r>
        <w:t xml:space="preserve">EMBALLAGE POUR LES LIVRAISONS INTERNATIONALES </w:t>
      </w:r>
      <w:r>
        <w:rPr>
          <w:i/>
        </w:rPr>
        <w:t>[</w:t>
      </w:r>
      <w:r w:rsidRPr="00535644">
        <w:rPr>
          <w:rFonts w:eastAsia="MS Gothic"/>
          <w:i/>
          <w:highlight w:val="yellow"/>
        </w:rPr>
        <w:t>SUPPRIMER SI NÉCESSAIRE]</w:t>
      </w:r>
      <w:bookmarkEnd w:id="26"/>
    </w:p>
    <w:p w:rsidR="00BC7AEE" w:rsidRDefault="00BC7AEE" w:rsidP="00BC7AEE"/>
    <w:p w:rsidR="00BC7AEE" w:rsidRDefault="00BC7AEE" w:rsidP="00BC7AEE">
      <w:r>
        <w:t xml:space="preserve">Le(s) produit(s) </w:t>
      </w:r>
      <w:r w:rsidR="00893527">
        <w:t xml:space="preserve">devront </w:t>
      </w:r>
      <w:r>
        <w:t>être adéquatement emballé(s) dans des cartons d’emballage à triple-paroi et de manière à assurer une protection des biens suffisante pour le transport aérien,</w:t>
      </w:r>
      <w:r w:rsidR="00F765F3">
        <w:t xml:space="preserve"> maritime et terrestre jusqu’à la destination finale et pour la distribution ultérieure, y compris dans des lieux isolés aux conditions climatiques et de stockage difficiles et connaissant un fort taux d’humidité (au moins 17kN de résistance à l’écrasement</w:t>
      </w:r>
      <w:r w:rsidR="00FC31EF">
        <w:t xml:space="preserve"> avec une</w:t>
      </w:r>
      <w:r w:rsidR="00EC67BE">
        <w:t xml:space="preserve"> conservation de 60% </w:t>
      </w:r>
      <w:r w:rsidR="00FC31EF">
        <w:t>minimum</w:t>
      </w:r>
      <w:r w:rsidR="00DF0336">
        <w:t>,</w:t>
      </w:r>
      <w:r w:rsidR="00FC31EF">
        <w:t xml:space="preserve"> à une température de 40ºC</w:t>
      </w:r>
      <w:r w:rsidR="00EC67BE">
        <w:t xml:space="preserve"> et </w:t>
      </w:r>
      <w:r w:rsidR="00FC31EF">
        <w:t>une humidité de 90 %)</w:t>
      </w:r>
      <w:r w:rsidR="0063417C">
        <w:t>.</w:t>
      </w:r>
    </w:p>
    <w:p w:rsidR="00387210" w:rsidRDefault="00387210" w:rsidP="00BC7AEE"/>
    <w:p w:rsidR="00387210" w:rsidRDefault="00151EF7" w:rsidP="00BC7AEE">
      <w:r>
        <w:t>Le transport et la manutention de</w:t>
      </w:r>
      <w:r w:rsidR="003D7401">
        <w:t xml:space="preserve"> biens dangereux sont soumis à des</w:t>
      </w:r>
      <w:r>
        <w:t xml:space="preserve"> régulations basées sur des accords de transport internationaux (ADR, RID, Code IMDG, IATA DGR, ICAO) afin d’éviter de blesser des personnes</w:t>
      </w:r>
      <w:r w:rsidR="003D7401">
        <w:t xml:space="preserve"> et d’endommager les chargements ou</w:t>
      </w:r>
      <w:r>
        <w:t xml:space="preserve"> l</w:t>
      </w:r>
      <w:r w:rsidR="003D7401">
        <w:t>a faune et la flore</w:t>
      </w:r>
      <w:r>
        <w:t xml:space="preserve">. Si des Biens concernés par cet Accord sont classifiés dangereux, il est de la responsabilité du Fournisseur de s’assurer que l’emballage des Biens respecte les conditions spéciales relatives aux biens </w:t>
      </w:r>
      <w:r w:rsidR="005423D8">
        <w:t>dangereux ou à la chaîne du froid et que les Biens soient étiquetés correctement, transportés de manière sécurisés et accompagnés des certificats nécessaires. Les frais d’emballage, y compris d’emballage à l’exportation, sont inclus dans le prix.</w:t>
      </w:r>
    </w:p>
    <w:p w:rsidR="005423D8" w:rsidRDefault="005423D8" w:rsidP="00BC7AEE"/>
    <w:p w:rsidR="005423D8" w:rsidRDefault="005423D8" w:rsidP="00BC7AEE">
      <w:r>
        <w:t xml:space="preserve">Les cartons </w:t>
      </w:r>
      <w:r w:rsidR="00893527">
        <w:t xml:space="preserve">devront </w:t>
      </w:r>
      <w:r>
        <w:t xml:space="preserve">être numérotés consécutivement. Aucun carton ne </w:t>
      </w:r>
      <w:r w:rsidR="00893527">
        <w:t xml:space="preserve">pourra </w:t>
      </w:r>
      <w:r>
        <w:t>contenir de produits provenant de lots de fabrication différents. Les cartons dont le contenu n’est pas uniforme</w:t>
      </w:r>
      <w:r w:rsidR="00893527">
        <w:t xml:space="preserve"> devront</w:t>
      </w:r>
      <w:r>
        <w:t xml:space="preserve"> être spécialement marqués </w:t>
      </w:r>
      <w:r w:rsidR="003D7401">
        <w:t xml:space="preserve">en rouge </w:t>
      </w:r>
      <w:r w:rsidR="00F21407">
        <w:t>sur les coins supérieurs.</w:t>
      </w:r>
    </w:p>
    <w:p w:rsidR="00C40C38" w:rsidRDefault="00C40C38" w:rsidP="00BC7AEE"/>
    <w:p w:rsidR="00C40C38" w:rsidRDefault="00C34AEF" w:rsidP="00BC7AEE">
      <w:r>
        <w:t>L’emballage des produits doit respecter les standards GMP de l’OMS.</w:t>
      </w:r>
    </w:p>
    <w:p w:rsidR="00C34AEF" w:rsidRDefault="00C34AEF" w:rsidP="00BC7AEE"/>
    <w:p w:rsidR="00C34AEF" w:rsidRDefault="00C34AEF" w:rsidP="00C34AEF">
      <w:pPr>
        <w:pStyle w:val="ListParagraph"/>
        <w:numPr>
          <w:ilvl w:val="0"/>
          <w:numId w:val="7"/>
        </w:numPr>
      </w:pPr>
      <w:r>
        <w:t xml:space="preserve">Emballage primaire – stérile ou non stérile selon le cas. Par exemple : pour les articles stériles, un film transparent pour permettre une identification précise du contenu (sachet, boîte en plastique, sachet détachable) ; pour les produits pharmaceutiques, des tablettes ou des capsules. </w:t>
      </w:r>
      <w:r w:rsidR="002C42C6">
        <w:t xml:space="preserve">En dessous </w:t>
      </w:r>
      <w:r w:rsidR="00F20CD4">
        <w:t>de</w:t>
      </w:r>
      <w:r>
        <w:t xml:space="preserve"> 30 tablettes ou capsules</w:t>
      </w:r>
      <w:r w:rsidR="002C42C6">
        <w:t>, les articles</w:t>
      </w:r>
      <w:r>
        <w:t xml:space="preserve"> </w:t>
      </w:r>
      <w:r w:rsidR="00F20CD4">
        <w:t xml:space="preserve">doivent être emballés sous </w:t>
      </w:r>
      <w:r w:rsidR="002C42C6">
        <w:t xml:space="preserve">emballage </w:t>
      </w:r>
      <w:r w:rsidR="00F20CD4">
        <w:t>blister.</w:t>
      </w:r>
      <w:r w:rsidR="002C42C6">
        <w:t xml:space="preserve"> Au dessus</w:t>
      </w:r>
      <w:r w:rsidR="00F20CD4">
        <w:t xml:space="preserve"> de 30 tablettes ou capsules</w:t>
      </w:r>
      <w:r w:rsidR="002C42C6">
        <w:t>, les articles</w:t>
      </w:r>
      <w:r w:rsidR="00F20CD4">
        <w:t xml:space="preserve"> doivent être emballés dans des flacons.</w:t>
      </w:r>
    </w:p>
    <w:p w:rsidR="00541138" w:rsidRDefault="00541138" w:rsidP="00541138">
      <w:pPr>
        <w:pStyle w:val="ListParagraph"/>
      </w:pPr>
    </w:p>
    <w:p w:rsidR="00541138" w:rsidRDefault="00541138" w:rsidP="00541138">
      <w:pPr>
        <w:pStyle w:val="ListParagraph"/>
        <w:numPr>
          <w:ilvl w:val="0"/>
          <w:numId w:val="7"/>
        </w:numPr>
      </w:pPr>
      <w:r>
        <w:t>Emballage secondaire</w:t>
      </w:r>
      <w:r w:rsidR="003F290D">
        <w:t xml:space="preserve"> (</w:t>
      </w:r>
      <w:r w:rsidR="008809C3">
        <w:t>protection de l’emballage primaire). Par exemple : carton, emballage rigide.</w:t>
      </w:r>
    </w:p>
    <w:p w:rsidR="008809C3" w:rsidRDefault="008809C3" w:rsidP="008809C3">
      <w:pPr>
        <w:pStyle w:val="ListParagraph"/>
      </w:pPr>
    </w:p>
    <w:p w:rsidR="008809C3" w:rsidRDefault="003E5534" w:rsidP="003E5534">
      <w:pPr>
        <w:pStyle w:val="Heading1"/>
        <w:numPr>
          <w:ilvl w:val="0"/>
          <w:numId w:val="1"/>
        </w:numPr>
        <w:rPr>
          <w:rFonts w:eastAsia="MS Gothic"/>
          <w:i/>
        </w:rPr>
      </w:pPr>
      <w:bookmarkStart w:id="27" w:name="_Toc369859071"/>
      <w:r>
        <w:t xml:space="preserve">MARQUAGE ET ÉTIQUETAGE </w:t>
      </w:r>
      <w:r>
        <w:rPr>
          <w:i/>
        </w:rPr>
        <w:t>[</w:t>
      </w:r>
      <w:r w:rsidRPr="00535644">
        <w:rPr>
          <w:rFonts w:eastAsia="MS Gothic"/>
          <w:i/>
          <w:highlight w:val="yellow"/>
        </w:rPr>
        <w:t>SUPPRIMER SI NÉCESSAIRE]</w:t>
      </w:r>
      <w:bookmarkEnd w:id="27"/>
    </w:p>
    <w:p w:rsidR="003E5534" w:rsidRDefault="003E5534" w:rsidP="003E5534"/>
    <w:p w:rsidR="00AC503A" w:rsidRDefault="00AC503A" w:rsidP="003E5534">
      <w:r>
        <w:t xml:space="preserve">L’étiquetage et l’empaquetage des produits doivent être conformes aux BPF de l’OMS et </w:t>
      </w:r>
      <w:r w:rsidRPr="003D4CB0">
        <w:rPr>
          <w:highlight w:val="yellow"/>
        </w:rPr>
        <w:t>aux exigences essentielles contenues dans les documents</w:t>
      </w:r>
      <w:r w:rsidR="003D4CB0" w:rsidRPr="003D4CB0">
        <w:rPr>
          <w:highlight w:val="yellow"/>
        </w:rPr>
        <w:t xml:space="preserve"> SG1-N43:2005 and SG1-N009R6 relatifs à l’étiquetage des dispositifs médicaux publiés par la Global Harmonization Task Force</w:t>
      </w:r>
      <w:r w:rsidR="003D4CB0">
        <w:t>.</w:t>
      </w:r>
    </w:p>
    <w:p w:rsidR="003D4CB0" w:rsidRDefault="003D4CB0" w:rsidP="003E5534"/>
    <w:p w:rsidR="003D4CB0" w:rsidRDefault="003D4CB0" w:rsidP="003E5534">
      <w:r>
        <w:t xml:space="preserve">Les emballages primaires </w:t>
      </w:r>
      <w:r w:rsidR="00893527">
        <w:t xml:space="preserve">devront </w:t>
      </w:r>
      <w:r>
        <w:t>avoir une étiquette avec les informations suivantes :</w:t>
      </w:r>
    </w:p>
    <w:p w:rsidR="003D4CB0" w:rsidRDefault="003D4CB0" w:rsidP="003E5534"/>
    <w:p w:rsidR="003D4CB0" w:rsidRPr="0002049D" w:rsidRDefault="003D4CB0" w:rsidP="003D4CB0">
      <w:pPr>
        <w:pStyle w:val="ListParagraph"/>
        <w:numPr>
          <w:ilvl w:val="0"/>
          <w:numId w:val="19"/>
        </w:numPr>
        <w:rPr>
          <w:highlight w:val="cyan"/>
        </w:rPr>
      </w:pPr>
      <w:r w:rsidRPr="0002049D">
        <w:rPr>
          <w:highlight w:val="cyan"/>
        </w:rPr>
        <w:t>Nom du fabricant</w:t>
      </w:r>
      <w:r w:rsidR="00893527">
        <w:rPr>
          <w:highlight w:val="cyan"/>
        </w:rPr>
        <w:t>;</w:t>
      </w:r>
    </w:p>
    <w:p w:rsidR="003D4CB0" w:rsidRPr="0002049D" w:rsidRDefault="003D4CB0" w:rsidP="003D4CB0">
      <w:pPr>
        <w:pStyle w:val="ListParagraph"/>
        <w:numPr>
          <w:ilvl w:val="0"/>
          <w:numId w:val="19"/>
        </w:numPr>
        <w:rPr>
          <w:highlight w:val="cyan"/>
        </w:rPr>
      </w:pPr>
      <w:r w:rsidRPr="0002049D">
        <w:rPr>
          <w:highlight w:val="cyan"/>
        </w:rPr>
        <w:t>Adresse de l’usine du fabricant</w:t>
      </w:r>
      <w:r w:rsidR="00893527">
        <w:rPr>
          <w:highlight w:val="cyan"/>
        </w:rPr>
        <w:t>;</w:t>
      </w:r>
    </w:p>
    <w:p w:rsidR="003D4CB0" w:rsidRPr="0002049D" w:rsidRDefault="003D4CB0" w:rsidP="003D4CB0">
      <w:pPr>
        <w:pStyle w:val="ListParagraph"/>
        <w:numPr>
          <w:ilvl w:val="0"/>
          <w:numId w:val="19"/>
        </w:numPr>
        <w:rPr>
          <w:highlight w:val="cyan"/>
        </w:rPr>
      </w:pPr>
      <w:r w:rsidRPr="0002049D">
        <w:rPr>
          <w:highlight w:val="cyan"/>
        </w:rPr>
        <w:t>Référence de l’article du fabricant et du Fournisseur</w:t>
      </w:r>
      <w:r w:rsidR="00893527">
        <w:rPr>
          <w:highlight w:val="cyan"/>
        </w:rPr>
        <w:t>;</w:t>
      </w:r>
    </w:p>
    <w:p w:rsidR="003D4CB0" w:rsidRDefault="003D4CB0" w:rsidP="003D4CB0">
      <w:pPr>
        <w:pStyle w:val="ListParagraph"/>
        <w:numPr>
          <w:ilvl w:val="0"/>
          <w:numId w:val="19"/>
        </w:numPr>
      </w:pPr>
      <w:r>
        <w:t>Indications pour l’identification de l’article (en anglais, français et espagnol), description et composition si nécessaires</w:t>
      </w:r>
      <w:r w:rsidR="00893527">
        <w:t>;</w:t>
      </w:r>
    </w:p>
    <w:p w:rsidR="003D4CB0" w:rsidRDefault="003D4CB0" w:rsidP="003D4CB0">
      <w:pPr>
        <w:pStyle w:val="ListParagraph"/>
        <w:numPr>
          <w:ilvl w:val="0"/>
          <w:numId w:val="19"/>
        </w:numPr>
      </w:pPr>
      <w:r>
        <w:t>Numéro de lot précédé du préfixe « LOT » ou d’un préfixe harmonisé équivalent, ou numéro de série précédé du préfixe « SN »</w:t>
      </w:r>
      <w:r w:rsidR="00893527">
        <w:t> ;</w:t>
      </w:r>
    </w:p>
    <w:p w:rsidR="003D4CB0" w:rsidRDefault="003D4CB0" w:rsidP="003D4CB0">
      <w:pPr>
        <w:pStyle w:val="ListParagraph"/>
        <w:numPr>
          <w:ilvl w:val="0"/>
          <w:numId w:val="19"/>
        </w:numPr>
      </w:pPr>
      <w:r>
        <w:t xml:space="preserve">Pour les articles périssables : </w:t>
      </w:r>
      <w:r w:rsidR="00D62644">
        <w:t>date de péremption exprimée sous la forme « à consommer avant le (mois)/(année)</w:t>
      </w:r>
      <w:r w:rsidR="00893527">
        <w:t> »</w:t>
      </w:r>
      <w:r w:rsidR="00D62644">
        <w:t xml:space="preserve"> ou précédée du préfixe « EXP » ou d’un préfixe harmonisé équivalent</w:t>
      </w:r>
      <w:r w:rsidR="00893527">
        <w:t>;</w:t>
      </w:r>
    </w:p>
    <w:p w:rsidR="00D62644" w:rsidRDefault="00D62644" w:rsidP="003D4CB0">
      <w:pPr>
        <w:pStyle w:val="ListParagraph"/>
        <w:numPr>
          <w:ilvl w:val="0"/>
          <w:numId w:val="19"/>
        </w:numPr>
      </w:pPr>
      <w:r>
        <w:t>Pour les articles non périssables : date de fabrication (anné</w:t>
      </w:r>
      <w:r w:rsidR="00893527">
        <w:t>e) précédée par un</w:t>
      </w:r>
      <w:r>
        <w:t xml:space="preserve"> préfixe harmonisé, à moins que l’information ne figure déjà dans le numéro de lot ou de série</w:t>
      </w:r>
      <w:r w:rsidR="00893527">
        <w:t>;</w:t>
      </w:r>
    </w:p>
    <w:p w:rsidR="00D62644" w:rsidRDefault="00D62644" w:rsidP="003D4CB0">
      <w:pPr>
        <w:pStyle w:val="ListParagraph"/>
        <w:numPr>
          <w:ilvl w:val="0"/>
          <w:numId w:val="19"/>
        </w:numPr>
      </w:pPr>
      <w:r>
        <w:t>Pour les articles à usage unique : inscription « NE PAS RÉ-UTILISER » ou « USAGE UNIQUE » ou inscription harmonisé</w:t>
      </w:r>
      <w:r w:rsidR="00893527">
        <w:t>e</w:t>
      </w:r>
      <w:r>
        <w:t xml:space="preserve"> équivalente</w:t>
      </w:r>
      <w:r w:rsidR="00893527">
        <w:t>;</w:t>
      </w:r>
    </w:p>
    <w:p w:rsidR="00D62644" w:rsidRDefault="00D62644" w:rsidP="003D4CB0">
      <w:pPr>
        <w:pStyle w:val="ListParagraph"/>
        <w:numPr>
          <w:ilvl w:val="0"/>
          <w:numId w:val="19"/>
        </w:numPr>
      </w:pPr>
      <w:r>
        <w:t>Pour les articles stérilisés : inscription « STÉRILE » ou inscription harmonisée équivalente, accompagnée</w:t>
      </w:r>
      <w:r w:rsidR="00893527">
        <w:t xml:space="preserve"> d’un avertissement indiquant</w:t>
      </w:r>
      <w:r>
        <w:t xml:space="preserve"> « vérifier l’intégrité de l’emballage stérile avant l’utilisation ».</w:t>
      </w:r>
    </w:p>
    <w:p w:rsidR="00AC503A" w:rsidRDefault="00AC503A" w:rsidP="003E5534"/>
    <w:p w:rsidR="003E5534" w:rsidRDefault="003E5534" w:rsidP="003E5534">
      <w:r>
        <w:t>Le marquage et l’étiquetage sur les cartons destinés à l’exportation</w:t>
      </w:r>
      <w:r w:rsidR="00893527">
        <w:t xml:space="preserve"> devront</w:t>
      </w:r>
      <w:r>
        <w:t xml:space="preserve"> suivre rigoureusement les conditions de l’UNFPA</w:t>
      </w:r>
      <w:r w:rsidR="003D7401">
        <w:t xml:space="preserve"> décrites</w:t>
      </w:r>
      <w:r>
        <w:t xml:space="preserve"> ci-dessous :</w:t>
      </w:r>
    </w:p>
    <w:p w:rsidR="003E5534" w:rsidRDefault="003E5534" w:rsidP="003E5534"/>
    <w:p w:rsidR="003E5534" w:rsidRDefault="003E5534" w:rsidP="003E5534">
      <w:r>
        <w:rPr>
          <w:noProof/>
          <w:lang w:val="en-GB" w:eastAsia="en-GB"/>
        </w:rPr>
        <mc:AlternateContent>
          <mc:Choice Requires="wpg">
            <w:drawing>
              <wp:anchor distT="0" distB="0" distL="114300" distR="114300" simplePos="0" relativeHeight="251661312" behindDoc="0" locked="0" layoutInCell="1" allowOverlap="1">
                <wp:simplePos x="0" y="0"/>
                <wp:positionH relativeFrom="column">
                  <wp:posOffset>35560</wp:posOffset>
                </wp:positionH>
                <wp:positionV relativeFrom="paragraph">
                  <wp:posOffset>114925</wp:posOffset>
                </wp:positionV>
                <wp:extent cx="5486400" cy="2676525"/>
                <wp:effectExtent l="0" t="0" r="1905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676525"/>
                          <a:chOff x="1893" y="304"/>
                          <a:chExt cx="8640" cy="2897"/>
                        </a:xfrm>
                      </wpg:grpSpPr>
                      <wps:wsp>
                        <wps:cNvPr id="8" name="Rectangle 9"/>
                        <wps:cNvSpPr>
                          <a:spLocks noChangeArrowheads="1"/>
                        </wps:cNvSpPr>
                        <wps:spPr bwMode="auto">
                          <a:xfrm>
                            <a:off x="1893" y="304"/>
                            <a:ext cx="8640" cy="289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9" name="Text Box 10"/>
                        <wps:cNvSpPr txBox="1">
                          <a:spLocks noChangeArrowheads="1"/>
                        </wps:cNvSpPr>
                        <wps:spPr bwMode="auto">
                          <a:xfrm>
                            <a:off x="2301" y="561"/>
                            <a:ext cx="2501" cy="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527" w:rsidRDefault="00893527" w:rsidP="003E5534">
                              <w:pPr>
                                <w:jc w:val="left"/>
                              </w:pPr>
                              <w:r w:rsidRPr="003E5534">
                                <w:rPr>
                                  <w:spacing w:val="-2"/>
                                  <w:szCs w:val="20"/>
                                </w:rPr>
                                <w:t>Logo de l’UNFPA</w:t>
                              </w:r>
                              <w:r>
                                <w:rPr>
                                  <w:spacing w:val="-2"/>
                                </w:rPr>
                                <w:t xml:space="preserve">   </w:t>
                              </w:r>
                              <w:r w:rsidR="004003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20.25pt">
                                    <v:imagedata r:id="rId15" o:title="clouored%20logo"/>
                                  </v:shape>
                                </w:pic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301" y="1401"/>
                            <a:ext cx="252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527" w:rsidRPr="00FE0428" w:rsidRDefault="00893527" w:rsidP="003E5534">
                              <w:pPr>
                                <w:tabs>
                                  <w:tab w:val="left" w:pos="-1440"/>
                                  <w:tab w:val="left" w:pos="-720"/>
                                  <w:tab w:val="left" w:pos="0"/>
                                  <w:tab w:val="left" w:pos="720"/>
                                  <w:tab w:val="left" w:pos="1440"/>
                                  <w:tab w:val="left" w:pos="2160"/>
                                  <w:tab w:val="left" w:pos="2880"/>
                                  <w:tab w:val="left" w:pos="3168"/>
                                  <w:tab w:val="left" w:pos="3600"/>
                                </w:tabs>
                                <w:suppressAutoHyphens/>
                                <w:spacing w:line="360" w:lineRule="auto"/>
                              </w:pPr>
                              <w:r>
                                <w:t>No. de projet/UNFPA</w:t>
                              </w:r>
                            </w:p>
                            <w:p w:rsidR="00893527" w:rsidRPr="00FE0428" w:rsidRDefault="00893527" w:rsidP="003E5534">
                              <w:pPr>
                                <w:tabs>
                                  <w:tab w:val="left" w:pos="-1440"/>
                                  <w:tab w:val="left" w:pos="-720"/>
                                  <w:tab w:val="left" w:pos="0"/>
                                  <w:tab w:val="left" w:pos="720"/>
                                  <w:tab w:val="left" w:pos="1440"/>
                                  <w:tab w:val="left" w:pos="2160"/>
                                  <w:tab w:val="left" w:pos="2880"/>
                                  <w:tab w:val="left" w:pos="3168"/>
                                  <w:tab w:val="left" w:pos="3600"/>
                                </w:tabs>
                                <w:suppressAutoHyphens/>
                                <w:spacing w:line="360" w:lineRule="auto"/>
                              </w:pPr>
                              <w:r>
                                <w:t>Contenu</w:t>
                              </w:r>
                              <w:r w:rsidRPr="00FE0428">
                                <w:t>:</w:t>
                              </w:r>
                              <w:r>
                                <w:t xml:space="preserve"> article</w:t>
                              </w:r>
                              <w:r w:rsidRPr="00FE0428">
                                <w:tab/>
                              </w:r>
                            </w:p>
                            <w:p w:rsidR="00893527" w:rsidRPr="00FE0428" w:rsidRDefault="00893527" w:rsidP="003E5534">
                              <w:pPr>
                                <w:tabs>
                                  <w:tab w:val="left" w:pos="-1440"/>
                                  <w:tab w:val="left" w:pos="-720"/>
                                  <w:tab w:val="left" w:pos="0"/>
                                  <w:tab w:val="left" w:pos="720"/>
                                  <w:tab w:val="left" w:pos="1440"/>
                                  <w:tab w:val="left" w:pos="2160"/>
                                  <w:tab w:val="left" w:pos="2880"/>
                                  <w:tab w:val="left" w:pos="3168"/>
                                  <w:tab w:val="left" w:pos="3600"/>
                                </w:tabs>
                                <w:suppressAutoHyphens/>
                                <w:spacing w:line="360" w:lineRule="auto"/>
                              </w:pPr>
                              <w:r>
                                <w:t>Pays de destination</w:t>
                              </w:r>
                            </w:p>
                            <w:p w:rsidR="00893527" w:rsidRDefault="00893527" w:rsidP="003E5534">
                              <w:pPr>
                                <w:tabs>
                                  <w:tab w:val="left" w:pos="-1440"/>
                                  <w:tab w:val="left" w:pos="-720"/>
                                  <w:tab w:val="left" w:pos="0"/>
                                  <w:tab w:val="left" w:pos="720"/>
                                  <w:tab w:val="left" w:pos="1440"/>
                                  <w:tab w:val="left" w:pos="2160"/>
                                  <w:tab w:val="left" w:pos="2880"/>
                                  <w:tab w:val="left" w:pos="3168"/>
                                  <w:tab w:val="left" w:pos="3600"/>
                                </w:tabs>
                                <w:suppressAutoHyphens/>
                                <w:spacing w:line="360" w:lineRule="auto"/>
                                <w:jc w:val="left"/>
                              </w:pPr>
                              <w:r>
                                <w:t>No. du bon de commande UNFPA</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5781" y="441"/>
                            <a:ext cx="4560" cy="2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527" w:rsidRPr="00AC3D9E" w:rsidRDefault="00893527" w:rsidP="003E5534">
                              <w:r w:rsidRPr="00AC3D9E">
                                <w:t>Nom du Fournisseur</w:t>
                              </w:r>
                            </w:p>
                            <w:p w:rsidR="00893527" w:rsidRPr="00AC3D9E" w:rsidRDefault="00893527" w:rsidP="003E5534">
                              <w:r w:rsidRPr="00AC3D9E">
                                <w:t>No. de série/lot</w:t>
                              </w:r>
                            </w:p>
                            <w:p w:rsidR="00893527" w:rsidRPr="003E5534" w:rsidRDefault="00893527" w:rsidP="003E5534">
                              <w:r w:rsidRPr="003E5534">
                                <w:t>No. du carton</w:t>
                              </w:r>
                            </w:p>
                            <w:p w:rsidR="00893527" w:rsidRPr="003E5534" w:rsidRDefault="00893527" w:rsidP="003E5534">
                              <w:r w:rsidRPr="003E5534">
                                <w:t>Date de fabrication</w:t>
                              </w:r>
                            </w:p>
                            <w:p w:rsidR="00893527" w:rsidRPr="003E5534" w:rsidRDefault="00893527" w:rsidP="003E5534">
                              <w:r w:rsidRPr="003E5534">
                                <w:t>Date d’expiration</w:t>
                              </w:r>
                            </w:p>
                            <w:p w:rsidR="00893527" w:rsidRPr="003E5534" w:rsidRDefault="00893527" w:rsidP="003E5534">
                              <w:r w:rsidRPr="003E5534">
                                <w:t>Poids</w:t>
                              </w:r>
                            </w:p>
                            <w:p w:rsidR="00893527" w:rsidRPr="003E5534" w:rsidRDefault="00893527" w:rsidP="003E5534">
                              <w:r w:rsidRPr="003E5534">
                                <w:t>Volume</w:t>
                              </w:r>
                            </w:p>
                            <w:p w:rsidR="00893527" w:rsidRPr="003E5534" w:rsidRDefault="00893527" w:rsidP="003E5534">
                              <w:r w:rsidRPr="003E5534">
                                <w:t>Pression maximum autoris</w:t>
                              </w:r>
                              <w:r>
                                <w:t>ée, si nécessaire</w:t>
                              </w:r>
                            </w:p>
                            <w:p w:rsidR="00893527" w:rsidRPr="003E5534" w:rsidRDefault="00893527" w:rsidP="003E5534">
                              <w:r w:rsidRPr="003E5534">
                                <w:t>Temp</w:t>
                              </w:r>
                              <w:r>
                                <w:t>érature maximum, si nécessaire</w:t>
                              </w:r>
                            </w:p>
                            <w:p w:rsidR="00893527" w:rsidRPr="00FE0428" w:rsidRDefault="00893527" w:rsidP="003E5534">
                              <w:r>
                                <w:t>Instructions spécifiques, si nécessaire</w:t>
                              </w:r>
                            </w:p>
                            <w:p w:rsidR="00893527" w:rsidRDefault="00893527" w:rsidP="003E5534"/>
                          </w:txbxContent>
                        </wps:txbx>
                        <wps:bodyPr rot="0" vert="horz" wrap="square" lIns="91440" tIns="45720" rIns="91440" bIns="45720" anchor="t" anchorCtr="0" upright="1">
                          <a:noAutofit/>
                        </wps:bodyPr>
                      </wps:wsp>
                      <wps:wsp>
                        <wps:cNvPr id="13" name="Line 13"/>
                        <wps:cNvCnPr/>
                        <wps:spPr bwMode="auto">
                          <a:xfrm>
                            <a:off x="5541" y="321"/>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2.8pt;margin-top:9.05pt;width:6in;height:210.75pt;z-index:251661312" coordorigin="1893,304" coordsize="8640,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">
                <v:rect id="Rectangle 9" o:spid="_x0000_s1027" style="position:absolute;left:1893;top:304;width:8640;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RQsEA&#10;AADaAAAADwAAAGRycy9kb3ducmV2LnhtbERPTWvCQBC9F/wPyxR6KXVjoDZN3YS0UhAkh1q9D9lp&#10;EszOptlVk3/vHgSPj/e9ykfTiTMNrrWsYDGPQBBXVrdcK9j/fr8kIJxH1thZJgUTOciz2cMKU20v&#10;/EPnna9FCGGXooLG+z6V0lUNGXRz2xMH7s8OBn2AQy31gJcQbjoZR9FSGmw5NDTY01dD1XF3MgoO&#10;r8/rYjuVJb6b+DNJjv9vcolKPT2OxQcIT6O/i2/ujVYQtoYr4QbI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8UULBAAAA2gAAAA8AAAAAAAAAAAAAAAAAmAIAAGRycy9kb3du&#10;cmV2LnhtbFBLBQYAAAAABAAEAPUAAACGAwAAAAA=&#10;">
                  <v:fill opacity="0"/>
                </v:rect>
                <v:shapetype id="_x0000_t202" coordsize="21600,21600" o:spt="202" path="m,l,21600r21600,l21600,xe">
                  <v:stroke joinstyle="miter"/>
                  <v:path gradientshapeok="t" o:connecttype="rect"/>
                </v:shapetype>
                <v:shape id="Text Box 10" o:spid="_x0000_s1028" type="#_x0000_t202" style="position:absolute;left:2301;top:561;width:2501;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893527" w:rsidRDefault="00893527" w:rsidP="003E5534">
                        <w:pPr>
                          <w:jc w:val="left"/>
                        </w:pPr>
                        <w:r w:rsidRPr="003E5534">
                          <w:rPr>
                            <w:spacing w:val="-2"/>
                            <w:szCs w:val="20"/>
                          </w:rPr>
                          <w:t>Logo de l’UNFPA</w:t>
                        </w:r>
                        <w:r>
                          <w:rPr>
                            <w:spacing w:val="-2"/>
                          </w:rPr>
                          <w:t xml:space="preserve">   </w:t>
                        </w:r>
                        <w:r>
                          <w:pict>
                            <v:shape id="_x0000_i1026" type="#_x0000_t75" style="width:43.5pt;height:20.25pt">
                              <v:imagedata r:id="rId16" o:title="clouored%20logo"/>
                            </v:shape>
                          </w:pict>
                        </w:r>
                      </w:p>
                    </w:txbxContent>
                  </v:textbox>
                </v:shape>
                <v:shape id="Text Box 11" o:spid="_x0000_s1029" type="#_x0000_t202" style="position:absolute;left:2301;top:1401;width:25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893527" w:rsidRPr="00FE0428" w:rsidRDefault="00893527" w:rsidP="003E5534">
                        <w:pPr>
                          <w:tabs>
                            <w:tab w:val="left" w:pos="-1440"/>
                            <w:tab w:val="left" w:pos="-720"/>
                            <w:tab w:val="left" w:pos="0"/>
                            <w:tab w:val="left" w:pos="720"/>
                            <w:tab w:val="left" w:pos="1440"/>
                            <w:tab w:val="left" w:pos="2160"/>
                            <w:tab w:val="left" w:pos="2880"/>
                            <w:tab w:val="left" w:pos="3168"/>
                            <w:tab w:val="left" w:pos="3600"/>
                          </w:tabs>
                          <w:suppressAutoHyphens/>
                          <w:spacing w:line="360" w:lineRule="auto"/>
                        </w:pPr>
                        <w:r>
                          <w:t xml:space="preserve">No. </w:t>
                        </w:r>
                        <w:proofErr w:type="gramStart"/>
                        <w:r>
                          <w:t>de</w:t>
                        </w:r>
                        <w:proofErr w:type="gramEnd"/>
                        <w:r>
                          <w:t xml:space="preserve"> projet/UNFPA</w:t>
                        </w:r>
                      </w:p>
                      <w:p w:rsidR="00893527" w:rsidRPr="00FE0428" w:rsidRDefault="00893527" w:rsidP="003E5534">
                        <w:pPr>
                          <w:tabs>
                            <w:tab w:val="left" w:pos="-1440"/>
                            <w:tab w:val="left" w:pos="-720"/>
                            <w:tab w:val="left" w:pos="0"/>
                            <w:tab w:val="left" w:pos="720"/>
                            <w:tab w:val="left" w:pos="1440"/>
                            <w:tab w:val="left" w:pos="2160"/>
                            <w:tab w:val="left" w:pos="2880"/>
                            <w:tab w:val="left" w:pos="3168"/>
                            <w:tab w:val="left" w:pos="3600"/>
                          </w:tabs>
                          <w:suppressAutoHyphens/>
                          <w:spacing w:line="360" w:lineRule="auto"/>
                        </w:pPr>
                        <w:r>
                          <w:t>Contenu</w:t>
                        </w:r>
                        <w:r w:rsidRPr="00FE0428">
                          <w:t>:</w:t>
                        </w:r>
                        <w:r>
                          <w:t xml:space="preserve"> article</w:t>
                        </w:r>
                        <w:r w:rsidRPr="00FE0428">
                          <w:tab/>
                        </w:r>
                      </w:p>
                      <w:p w:rsidR="00893527" w:rsidRPr="00FE0428" w:rsidRDefault="00893527" w:rsidP="003E5534">
                        <w:pPr>
                          <w:tabs>
                            <w:tab w:val="left" w:pos="-1440"/>
                            <w:tab w:val="left" w:pos="-720"/>
                            <w:tab w:val="left" w:pos="0"/>
                            <w:tab w:val="left" w:pos="720"/>
                            <w:tab w:val="left" w:pos="1440"/>
                            <w:tab w:val="left" w:pos="2160"/>
                            <w:tab w:val="left" w:pos="2880"/>
                            <w:tab w:val="left" w:pos="3168"/>
                            <w:tab w:val="left" w:pos="3600"/>
                          </w:tabs>
                          <w:suppressAutoHyphens/>
                          <w:spacing w:line="360" w:lineRule="auto"/>
                        </w:pPr>
                        <w:r>
                          <w:t>Pays de destination</w:t>
                        </w:r>
                      </w:p>
                      <w:p w:rsidR="00893527" w:rsidRDefault="00893527" w:rsidP="003E5534">
                        <w:pPr>
                          <w:tabs>
                            <w:tab w:val="left" w:pos="-1440"/>
                            <w:tab w:val="left" w:pos="-720"/>
                            <w:tab w:val="left" w:pos="0"/>
                            <w:tab w:val="left" w:pos="720"/>
                            <w:tab w:val="left" w:pos="1440"/>
                            <w:tab w:val="left" w:pos="2160"/>
                            <w:tab w:val="left" w:pos="2880"/>
                            <w:tab w:val="left" w:pos="3168"/>
                            <w:tab w:val="left" w:pos="3600"/>
                          </w:tabs>
                          <w:suppressAutoHyphens/>
                          <w:spacing w:line="360" w:lineRule="auto"/>
                          <w:jc w:val="left"/>
                        </w:pPr>
                        <w:r>
                          <w:t xml:space="preserve">No. </w:t>
                        </w:r>
                        <w:proofErr w:type="gramStart"/>
                        <w:r>
                          <w:t>du</w:t>
                        </w:r>
                        <w:proofErr w:type="gramEnd"/>
                        <w:r>
                          <w:t xml:space="preserve"> bon de commande UNFPA</w:t>
                        </w:r>
                      </w:p>
                    </w:txbxContent>
                  </v:textbox>
                </v:shape>
                <v:shape id="Text Box 12" o:spid="_x0000_s1030" type="#_x0000_t202" style="position:absolute;left:5781;top:441;width:4560;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893527" w:rsidRPr="00AC3D9E" w:rsidRDefault="00893527" w:rsidP="003E5534">
                        <w:r w:rsidRPr="00AC3D9E">
                          <w:t>Nom du Fournisseur</w:t>
                        </w:r>
                      </w:p>
                      <w:p w:rsidR="00893527" w:rsidRPr="00AC3D9E" w:rsidRDefault="00893527" w:rsidP="003E5534">
                        <w:r w:rsidRPr="00AC3D9E">
                          <w:t xml:space="preserve">No. </w:t>
                        </w:r>
                        <w:proofErr w:type="gramStart"/>
                        <w:r w:rsidRPr="00AC3D9E">
                          <w:t>de</w:t>
                        </w:r>
                        <w:proofErr w:type="gramEnd"/>
                        <w:r w:rsidRPr="00AC3D9E">
                          <w:t xml:space="preserve"> série/lot</w:t>
                        </w:r>
                      </w:p>
                      <w:p w:rsidR="00893527" w:rsidRPr="003E5534" w:rsidRDefault="00893527" w:rsidP="003E5534">
                        <w:r w:rsidRPr="003E5534">
                          <w:t xml:space="preserve">No. </w:t>
                        </w:r>
                        <w:proofErr w:type="gramStart"/>
                        <w:r w:rsidRPr="003E5534">
                          <w:t>du</w:t>
                        </w:r>
                        <w:proofErr w:type="gramEnd"/>
                        <w:r w:rsidRPr="003E5534">
                          <w:t xml:space="preserve"> carton</w:t>
                        </w:r>
                      </w:p>
                      <w:p w:rsidR="00893527" w:rsidRPr="003E5534" w:rsidRDefault="00893527" w:rsidP="003E5534">
                        <w:r w:rsidRPr="003E5534">
                          <w:t>Date de fabrication</w:t>
                        </w:r>
                      </w:p>
                      <w:p w:rsidR="00893527" w:rsidRPr="003E5534" w:rsidRDefault="00893527" w:rsidP="003E5534">
                        <w:r w:rsidRPr="003E5534">
                          <w:t>Date d’expiration</w:t>
                        </w:r>
                      </w:p>
                      <w:p w:rsidR="00893527" w:rsidRPr="003E5534" w:rsidRDefault="00893527" w:rsidP="003E5534">
                        <w:r w:rsidRPr="003E5534">
                          <w:t>Poids</w:t>
                        </w:r>
                      </w:p>
                      <w:p w:rsidR="00893527" w:rsidRPr="003E5534" w:rsidRDefault="00893527" w:rsidP="003E5534">
                        <w:r w:rsidRPr="003E5534">
                          <w:t>Volume</w:t>
                        </w:r>
                      </w:p>
                      <w:p w:rsidR="00893527" w:rsidRPr="003E5534" w:rsidRDefault="00893527" w:rsidP="003E5534">
                        <w:r w:rsidRPr="003E5534">
                          <w:t>Pression maximum autoris</w:t>
                        </w:r>
                        <w:r>
                          <w:t>ée, si nécessaire</w:t>
                        </w:r>
                      </w:p>
                      <w:p w:rsidR="00893527" w:rsidRPr="003E5534" w:rsidRDefault="00893527" w:rsidP="003E5534">
                        <w:r w:rsidRPr="003E5534">
                          <w:t>Temp</w:t>
                        </w:r>
                        <w:r>
                          <w:t>érature maximum, si nécessaire</w:t>
                        </w:r>
                      </w:p>
                      <w:p w:rsidR="00893527" w:rsidRPr="00FE0428" w:rsidRDefault="00893527" w:rsidP="003E5534">
                        <w:r>
                          <w:t>Instructions spécifiques, si nécessaire</w:t>
                        </w:r>
                      </w:p>
                      <w:p w:rsidR="00893527" w:rsidRDefault="00893527" w:rsidP="003E5534"/>
                    </w:txbxContent>
                  </v:textbox>
                </v:shape>
                <v:line id="Line 13" o:spid="_x0000_s1031" style="position:absolute;visibility:visible;mso-wrap-style:square" from="5541,321" to="554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p>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E5534" w:rsidP="003E5534"/>
    <w:p w:rsidR="003E5534" w:rsidRDefault="003D7401" w:rsidP="003E5534">
      <w:r>
        <w:t>En cas de conditions spéciales de stockage</w:t>
      </w:r>
      <w:r w:rsidR="00B432B9">
        <w:t>, ces dernières</w:t>
      </w:r>
      <w:r w:rsidR="00893527">
        <w:t xml:space="preserve"> devront</w:t>
      </w:r>
      <w:r w:rsidR="00B432B9">
        <w:t xml:space="preserve"> figurer sur les cartons et tous les documents d’expédition.</w:t>
      </w:r>
    </w:p>
    <w:p w:rsidR="00B432B9" w:rsidRDefault="00B432B9" w:rsidP="003E5534"/>
    <w:p w:rsidR="00B432B9" w:rsidRDefault="00BF183B" w:rsidP="00B432B9">
      <w:pPr>
        <w:pStyle w:val="Heading1"/>
        <w:numPr>
          <w:ilvl w:val="0"/>
          <w:numId w:val="1"/>
        </w:numPr>
        <w:rPr>
          <w:rFonts w:eastAsia="MS Gothic"/>
          <w:i/>
        </w:rPr>
      </w:pPr>
      <w:bookmarkStart w:id="28" w:name="_Toc369859072"/>
      <w:r>
        <w:t>LISTE D</w:t>
      </w:r>
      <w:r w:rsidR="003D7401">
        <w:t>E</w:t>
      </w:r>
      <w:r>
        <w:t xml:space="preserve"> CONTENU </w:t>
      </w:r>
      <w:r>
        <w:rPr>
          <w:i/>
        </w:rPr>
        <w:t>[</w:t>
      </w:r>
      <w:r w:rsidRPr="00535644">
        <w:rPr>
          <w:rFonts w:eastAsia="MS Gothic"/>
          <w:i/>
          <w:highlight w:val="yellow"/>
        </w:rPr>
        <w:t>SUPPRIMER SI NÉCESSAIRE]</w:t>
      </w:r>
      <w:bookmarkEnd w:id="28"/>
    </w:p>
    <w:p w:rsidR="00BF183B" w:rsidRDefault="00BF183B" w:rsidP="00BF183B"/>
    <w:p w:rsidR="00BF183B" w:rsidRDefault="00BF183B" w:rsidP="00BF183B">
      <w:r>
        <w:t xml:space="preserve">Toutes les listes de contenu </w:t>
      </w:r>
      <w:r w:rsidR="00893527">
        <w:t>devront indiquer clairement le numéro du</w:t>
      </w:r>
      <w:r w:rsidR="00E269CA">
        <w:t xml:space="preserve"> bon de commande, les article(s) contenu(s) dans chaque paquet ainsi qu’une brève description, la valeur des biens, la quantité, </w:t>
      </w:r>
      <w:r w:rsidR="000F59D5">
        <w:t>le poids brut, les dimensions, le numéro de fab</w:t>
      </w:r>
      <w:r w:rsidR="007B1E6B">
        <w:t>rication du lot (si nécessaire) et</w:t>
      </w:r>
      <w:r w:rsidR="000F59D5">
        <w:t xml:space="preserve"> le renvoi aux numéros de carton</w:t>
      </w:r>
      <w:r w:rsidR="007B1E6B">
        <w:t>,</w:t>
      </w:r>
      <w:r w:rsidR="000F59D5">
        <w:t xml:space="preserve"> et les marquages</w:t>
      </w:r>
      <w:r w:rsidR="007B1E6B">
        <w:t xml:space="preserve"> indiquant</w:t>
      </w:r>
      <w:r w:rsidR="000F59D5">
        <w:t xml:space="preserve"> l’adresse complète du consignataire.</w:t>
      </w:r>
      <w:r w:rsidR="001B4727">
        <w:t xml:space="preserve"> Les marquages sur les cartons doivent respecter les instructions données dans le bon de commande.</w:t>
      </w:r>
    </w:p>
    <w:p w:rsidR="001B4727" w:rsidRDefault="001B4727" w:rsidP="00BF183B"/>
    <w:p w:rsidR="001B4727" w:rsidRDefault="00365DF1" w:rsidP="001B4727">
      <w:pPr>
        <w:pStyle w:val="Heading1"/>
        <w:numPr>
          <w:ilvl w:val="0"/>
          <w:numId w:val="1"/>
        </w:numPr>
        <w:rPr>
          <w:rFonts w:eastAsia="MS Gothic"/>
          <w:i/>
        </w:rPr>
      </w:pPr>
      <w:bookmarkStart w:id="29" w:name="_Toc369859073"/>
      <w:r>
        <w:t xml:space="preserve">EMBALLAGE EN KIT </w:t>
      </w:r>
      <w:r>
        <w:rPr>
          <w:i/>
        </w:rPr>
        <w:t>[</w:t>
      </w:r>
      <w:r w:rsidRPr="00535644">
        <w:rPr>
          <w:rFonts w:eastAsia="MS Gothic"/>
          <w:i/>
          <w:highlight w:val="yellow"/>
        </w:rPr>
        <w:t>SUPPRIMER SI NÉCESSAIRE]</w:t>
      </w:r>
      <w:bookmarkEnd w:id="29"/>
    </w:p>
    <w:p w:rsidR="00365DF1" w:rsidRDefault="00365DF1" w:rsidP="00365DF1"/>
    <w:p w:rsidR="00365DF1" w:rsidRDefault="00365DF1" w:rsidP="00365DF1">
      <w:r>
        <w:lastRenderedPageBreak/>
        <w:t xml:space="preserve">Il </w:t>
      </w:r>
      <w:r w:rsidR="000654DA">
        <w:t xml:space="preserve">pourra </w:t>
      </w:r>
      <w:r>
        <w:t>être demandé au Fournisseur d’emballer les Biens sous forme de kit. Les détails de ce type d’arrangement</w:t>
      </w:r>
      <w:r w:rsidR="000654DA">
        <w:t xml:space="preserve"> seront contenus dans chaque bon de commande</w:t>
      </w:r>
      <w:r>
        <w:t xml:space="preserve">. L’acheteur de l’UNFPA </w:t>
      </w:r>
      <w:r w:rsidR="000654DA">
        <w:t xml:space="preserve">devra </w:t>
      </w:r>
      <w:r>
        <w:t>être informé du délai de mise en œuvre et du devis relatifs aux emballages en kit au moment de la confirmation du bon de commande.</w:t>
      </w:r>
    </w:p>
    <w:p w:rsidR="00365DF1" w:rsidRDefault="00365DF1" w:rsidP="00365DF1"/>
    <w:p w:rsidR="00365DF1" w:rsidRDefault="00365DF1" w:rsidP="00365DF1">
      <w:pPr>
        <w:pStyle w:val="Heading1"/>
        <w:numPr>
          <w:ilvl w:val="0"/>
          <w:numId w:val="1"/>
        </w:numPr>
      </w:pPr>
      <w:bookmarkStart w:id="30" w:name="_Toc369859074"/>
      <w:r>
        <w:t>RAPPORTS</w:t>
      </w:r>
      <w:bookmarkEnd w:id="30"/>
    </w:p>
    <w:p w:rsidR="00365DF1" w:rsidRDefault="00365DF1" w:rsidP="00365DF1"/>
    <w:p w:rsidR="00365DF1" w:rsidRDefault="00365DF1" w:rsidP="00365DF1">
      <w:r>
        <w:t>Le Fournisseur</w:t>
      </w:r>
      <w:r w:rsidR="000654DA">
        <w:t xml:space="preserve"> devra</w:t>
      </w:r>
      <w:r>
        <w:t xml:space="preserve">, </w:t>
      </w:r>
      <w:r w:rsidR="007B1E6B">
        <w:t xml:space="preserve">à la </w:t>
      </w:r>
      <w:r>
        <w:t>demande de l’UNFPA, présenter un rapport</w:t>
      </w:r>
      <w:r w:rsidR="007B1E6B">
        <w:t xml:space="preserve"> sur</w:t>
      </w:r>
      <w:r>
        <w:t xml:space="preserve"> le volume des commandes, les ventes pour chaque pays et les informations de suivi de chaque commande indiquant le statut de production, l</w:t>
      </w:r>
      <w:r w:rsidR="004305C0">
        <w:t xml:space="preserve">a date de livraison prévue (FOB), la date d’inspection avant </w:t>
      </w:r>
      <w:r w:rsidR="00AF6D95">
        <w:rPr>
          <w:rFonts w:cs="Arial"/>
          <w:bCs/>
          <w:szCs w:val="20"/>
        </w:rPr>
        <w:t>expédition</w:t>
      </w:r>
      <w:r w:rsidR="004305C0">
        <w:t>, l’ETD, l’ETA, l’ATD et l’ATA.</w:t>
      </w:r>
    </w:p>
    <w:p w:rsidR="004305C0" w:rsidRDefault="004305C0" w:rsidP="00365DF1"/>
    <w:p w:rsidR="004305C0" w:rsidRDefault="004305C0" w:rsidP="004305C0">
      <w:pPr>
        <w:pStyle w:val="Heading1"/>
        <w:numPr>
          <w:ilvl w:val="0"/>
          <w:numId w:val="1"/>
        </w:numPr>
        <w:rPr>
          <w:rFonts w:eastAsia="MS Gothic"/>
          <w:i/>
        </w:rPr>
      </w:pPr>
      <w:bookmarkStart w:id="31" w:name="_Toc369859075"/>
      <w:r>
        <w:t xml:space="preserve">STOCKS </w:t>
      </w:r>
      <w:r>
        <w:rPr>
          <w:i/>
        </w:rPr>
        <w:t>[</w:t>
      </w:r>
      <w:r w:rsidRPr="00535644">
        <w:rPr>
          <w:rFonts w:eastAsia="MS Gothic"/>
          <w:i/>
          <w:highlight w:val="yellow"/>
        </w:rPr>
        <w:t>SUPPRIMER SI NÉCESSAIRE]</w:t>
      </w:r>
      <w:bookmarkEnd w:id="31"/>
    </w:p>
    <w:p w:rsidR="004305C0" w:rsidRDefault="004305C0" w:rsidP="004305C0"/>
    <w:p w:rsidR="004305C0" w:rsidRDefault="004305C0" w:rsidP="004305C0">
      <w:r>
        <w:t xml:space="preserve">Le Fournisseur </w:t>
      </w:r>
      <w:r w:rsidR="000654DA">
        <w:t xml:space="preserve">devra </w:t>
      </w:r>
      <w:r>
        <w:t>maintenir un stock suffisant ou prendre d’autres d</w:t>
      </w:r>
      <w:r w:rsidR="007B1E6B">
        <w:t>ispositions, à ses propres frais</w:t>
      </w:r>
      <w:r>
        <w:t xml:space="preserve">, </w:t>
      </w:r>
      <w:r w:rsidR="007B1E6B">
        <w:t xml:space="preserve">pour </w:t>
      </w:r>
      <w:r>
        <w:t>assurer les livraisons à temps.</w:t>
      </w:r>
    </w:p>
    <w:p w:rsidR="004305C0" w:rsidRDefault="004305C0" w:rsidP="004305C0"/>
    <w:p w:rsidR="004305C0" w:rsidRDefault="004305C0" w:rsidP="004305C0">
      <w:r>
        <w:t xml:space="preserve">Le Fournisseur </w:t>
      </w:r>
      <w:r w:rsidR="000654DA">
        <w:t xml:space="preserve">devra </w:t>
      </w:r>
      <w:r>
        <w:t xml:space="preserve">s’assurer que les produits fabriqués pour un bon de commande </w:t>
      </w:r>
      <w:r w:rsidR="00CE578C">
        <w:t xml:space="preserve">proviennent du même lot de fabrication </w:t>
      </w:r>
      <w:r w:rsidR="007B1E6B">
        <w:t>continue</w:t>
      </w:r>
      <w:r w:rsidR="00CE578C">
        <w:t xml:space="preserve">. Le Fournisseur ne </w:t>
      </w:r>
      <w:r w:rsidR="000654DA">
        <w:t xml:space="preserve">devra </w:t>
      </w:r>
      <w:r w:rsidR="00CE578C">
        <w:t>pas diviser une commande, à moins que l’UNFPA n’ait donné son accord. Chaque</w:t>
      </w:r>
      <w:r w:rsidR="00AD5409">
        <w:t xml:space="preserve"> bon de commande </w:t>
      </w:r>
      <w:r w:rsidR="000654DA">
        <w:t>devra</w:t>
      </w:r>
      <w:r w:rsidR="00AD5409">
        <w:t xml:space="preserve"> contenir l</w:t>
      </w:r>
      <w:r w:rsidR="00CE578C">
        <w:t>es instructions de commande spécifiques.</w:t>
      </w:r>
    </w:p>
    <w:p w:rsidR="00CE578C" w:rsidRDefault="00CE578C" w:rsidP="004305C0"/>
    <w:p w:rsidR="00CE578C" w:rsidRDefault="0013708A" w:rsidP="004305C0">
      <w:r>
        <w:t>Le Fournisseur</w:t>
      </w:r>
      <w:r w:rsidR="000654DA">
        <w:t xml:space="preserve"> devra</w:t>
      </w:r>
      <w:r>
        <w:t>, s’il y a lieu</w:t>
      </w:r>
      <w:r w:rsidR="00CE578C">
        <w:t xml:space="preserve">, </w:t>
      </w:r>
      <w:r w:rsidR="00C5165D">
        <w:t>présenter un rapport</w:t>
      </w:r>
      <w:r w:rsidR="00746867">
        <w:t xml:space="preserve"> mensuel</w:t>
      </w:r>
      <w:r w:rsidR="00C5165D">
        <w:t xml:space="preserve"> sur les stocks</w:t>
      </w:r>
      <w:r w:rsidR="000654DA">
        <w:t>,</w:t>
      </w:r>
      <w:r w:rsidR="00C5165D">
        <w:t xml:space="preserve"> attestant clairement </w:t>
      </w:r>
      <w:r w:rsidR="004D0082">
        <w:t>de l’appartenance des Biens à l’UNFPA.</w:t>
      </w:r>
    </w:p>
    <w:p w:rsidR="004D0082" w:rsidRDefault="004D0082" w:rsidP="004305C0"/>
    <w:p w:rsidR="004D0082" w:rsidRDefault="0013708A" w:rsidP="004305C0">
      <w:r>
        <w:t>Concernant les stocks d’urgence ou le Programme mondial pour l’achat de contraceptifs (Global Contraceptive Commodity Programme, GCCP), le Four</w:t>
      </w:r>
      <w:r w:rsidR="007E2DD5">
        <w:t xml:space="preserve">nisseur </w:t>
      </w:r>
      <w:r w:rsidR="000654DA">
        <w:t>devra</w:t>
      </w:r>
      <w:r w:rsidR="007E2DD5">
        <w:t xml:space="preserve"> s’assurer que les B</w:t>
      </w:r>
      <w:r>
        <w:t xml:space="preserve">iens sont livrés au transitaire deux jours </w:t>
      </w:r>
      <w:r w:rsidRPr="0013708A">
        <w:t>aprè</w:t>
      </w:r>
      <w:r w:rsidR="007E2DD5">
        <w:t xml:space="preserve">s la date </w:t>
      </w:r>
      <w:r>
        <w:t>de la commande.</w:t>
      </w:r>
    </w:p>
    <w:p w:rsidR="0013708A" w:rsidRDefault="0013708A" w:rsidP="004305C0"/>
    <w:p w:rsidR="0013708A" w:rsidRDefault="009A146F" w:rsidP="0013708A">
      <w:pPr>
        <w:pStyle w:val="Heading1"/>
        <w:numPr>
          <w:ilvl w:val="0"/>
          <w:numId w:val="1"/>
        </w:numPr>
        <w:rPr>
          <w:rFonts w:eastAsia="MS Gothic"/>
          <w:i/>
        </w:rPr>
      </w:pPr>
      <w:bookmarkStart w:id="32" w:name="_Toc369859076"/>
      <w:r>
        <w:t xml:space="preserve">INSPECTION ET </w:t>
      </w:r>
      <w:r w:rsidR="00B67D5A">
        <w:t>ESSAIS</w:t>
      </w:r>
      <w:r>
        <w:t xml:space="preserve"> </w:t>
      </w:r>
      <w:r>
        <w:rPr>
          <w:i/>
        </w:rPr>
        <w:t>[</w:t>
      </w:r>
      <w:r w:rsidRPr="00535644">
        <w:rPr>
          <w:rFonts w:eastAsia="MS Gothic"/>
          <w:i/>
          <w:highlight w:val="yellow"/>
        </w:rPr>
        <w:t>SUPPRIMER SI NÉCESSAIRE]</w:t>
      </w:r>
      <w:bookmarkEnd w:id="32"/>
    </w:p>
    <w:p w:rsidR="009A146F" w:rsidRDefault="009A146F" w:rsidP="009A146F"/>
    <w:p w:rsidR="009A146F" w:rsidRDefault="009A146F" w:rsidP="009A146F">
      <w:pPr>
        <w:rPr>
          <w:b/>
        </w:rPr>
      </w:pPr>
      <w:r w:rsidRPr="009A146F">
        <w:rPr>
          <w:b/>
        </w:rPr>
        <w:t xml:space="preserve">Inspection </w:t>
      </w:r>
      <w:r>
        <w:rPr>
          <w:b/>
        </w:rPr>
        <w:t>approfondie de l’assurance de la qualité</w:t>
      </w:r>
    </w:p>
    <w:p w:rsidR="009A146F" w:rsidRDefault="009A146F" w:rsidP="009A146F">
      <w:pPr>
        <w:rPr>
          <w:b/>
        </w:rPr>
      </w:pPr>
    </w:p>
    <w:p w:rsidR="009A146F" w:rsidRDefault="009A146F" w:rsidP="009A146F">
      <w:r>
        <w:t xml:space="preserve">L’UNFPA </w:t>
      </w:r>
      <w:r w:rsidR="000654DA">
        <w:t xml:space="preserve">pourra </w:t>
      </w:r>
      <w:r w:rsidR="00746867">
        <w:t>commanditer</w:t>
      </w:r>
      <w:r>
        <w:t xml:space="preserve">, en vertu de cet Accord, une inspection approfondie </w:t>
      </w:r>
      <w:r w:rsidR="00746867">
        <w:t>de la qualité d’échantillons de</w:t>
      </w:r>
      <w:r>
        <w:t xml:space="preserve"> produits chez le Fournisseur à n’importe quel moment durant cet Accord, y compris durant sa période de prorogation</w:t>
      </w:r>
      <w:r w:rsidR="00E51CEC">
        <w:t>. Le Fournisse</w:t>
      </w:r>
      <w:r w:rsidR="007E2DD5">
        <w:t xml:space="preserve">ur </w:t>
      </w:r>
      <w:r w:rsidR="000654DA">
        <w:t xml:space="preserve">devra </w:t>
      </w:r>
      <w:r w:rsidR="007E2DD5">
        <w:t>autoriser l’UNFPA, ou tout</w:t>
      </w:r>
      <w:r w:rsidR="00E51CEC">
        <w:t xml:space="preserve"> agent d’inspection mandaté, à accéder aux installations à toute heure raisonnable pour inspecter les échantillons</w:t>
      </w:r>
      <w:r w:rsidR="00A2517D">
        <w:t>, les entrepôts,</w:t>
      </w:r>
      <w:r w:rsidR="00746867" w:rsidRPr="00746867">
        <w:t xml:space="preserve"> </w:t>
      </w:r>
      <w:r w:rsidR="00746867">
        <w:t>le conditionnement des Biens et</w:t>
      </w:r>
      <w:r w:rsidR="00A2517D">
        <w:t xml:space="preserve"> les</w:t>
      </w:r>
      <w:r w:rsidR="00583293">
        <w:t xml:space="preserve"> procédures</w:t>
      </w:r>
      <w:r w:rsidR="00746867">
        <w:t xml:space="preserve"> internes</w:t>
      </w:r>
      <w:r w:rsidR="00A2517D">
        <w:t xml:space="preserve"> de contrôle </w:t>
      </w:r>
      <w:r w:rsidR="00746867">
        <w:t xml:space="preserve">et d’assurance </w:t>
      </w:r>
      <w:r w:rsidR="00A2517D">
        <w:t xml:space="preserve">de la qualité. Le Fournisseur </w:t>
      </w:r>
      <w:r w:rsidR="000654DA">
        <w:t xml:space="preserve">devra </w:t>
      </w:r>
      <w:r w:rsidR="005D15DE">
        <w:t>mettre à disposition de l’inspecteur</w:t>
      </w:r>
      <w:r w:rsidR="00A2517D">
        <w:t xml:space="preserve"> tous les échantillons, le</w:t>
      </w:r>
      <w:r w:rsidR="00727A6D">
        <w:t>s</w:t>
      </w:r>
      <w:r w:rsidR="00A2517D">
        <w:t xml:space="preserve"> </w:t>
      </w:r>
      <w:r w:rsidR="00727A6D">
        <w:t>équipements/</w:t>
      </w:r>
      <w:r w:rsidR="00A2517D">
        <w:t>dispositif</w:t>
      </w:r>
      <w:r w:rsidR="00727A6D">
        <w:t>s</w:t>
      </w:r>
      <w:r w:rsidR="008A2149">
        <w:t xml:space="preserve"> d’analyses</w:t>
      </w:r>
      <w:r w:rsidR="00A2517D">
        <w:t xml:space="preserve"> calibré</w:t>
      </w:r>
      <w:r w:rsidR="008A2149">
        <w:t>s</w:t>
      </w:r>
      <w:r w:rsidR="00A2517D">
        <w:t xml:space="preserve"> accompagné</w:t>
      </w:r>
      <w:r w:rsidR="00727A6D">
        <w:t>s</w:t>
      </w:r>
      <w:r w:rsidR="00A2517D">
        <w:t xml:space="preserve"> des certificats </w:t>
      </w:r>
      <w:r w:rsidR="00727A6D">
        <w:t>de calibrage</w:t>
      </w:r>
      <w:r w:rsidR="00A2517D">
        <w:t xml:space="preserve"> et le matériel de chargement</w:t>
      </w:r>
      <w:r w:rsidR="00727A6D">
        <w:t xml:space="preserve"> demandés</w:t>
      </w:r>
      <w:r w:rsidR="00A2517D">
        <w:t xml:space="preserve">. Le Fournisseur </w:t>
      </w:r>
      <w:r w:rsidR="000654DA">
        <w:t xml:space="preserve">devra </w:t>
      </w:r>
      <w:r w:rsidR="00A2517D">
        <w:t xml:space="preserve">fournir une assistance raisonnable à l’inspecteur, y compris pour l’installation et le montage des échantillons. </w:t>
      </w:r>
      <w:r w:rsidR="00727A6D">
        <w:t>L’UNFPA se réserve le droit d’annuler la commande de</w:t>
      </w:r>
      <w:r w:rsidR="00387C35">
        <w:t xml:space="preserve"> tout article</w:t>
      </w:r>
      <w:r w:rsidR="00727A6D">
        <w:t xml:space="preserve"> concerné par cet Accord</w:t>
      </w:r>
      <w:r w:rsidR="007E2DD5">
        <w:t xml:space="preserve"> déclaré</w:t>
      </w:r>
      <w:r w:rsidR="00727A6D">
        <w:t xml:space="preserve"> non conforme </w:t>
      </w:r>
      <w:r w:rsidR="007E2DD5">
        <w:t xml:space="preserve">suite </w:t>
      </w:r>
      <w:r w:rsidR="00727A6D">
        <w:t>à</w:t>
      </w:r>
      <w:r w:rsidR="00387C35">
        <w:t xml:space="preserve"> l’inspection approfondie de la qualité. Le Fournisseur </w:t>
      </w:r>
      <w:r w:rsidR="00727A6D">
        <w:t>est tenu de</w:t>
      </w:r>
      <w:r w:rsidR="00387C35">
        <w:t xml:space="preserve"> prendre en compte la quantité su</w:t>
      </w:r>
      <w:r w:rsidR="00727A6D">
        <w:t>pplémentaire d’ar</w:t>
      </w:r>
      <w:r w:rsidR="008A2149">
        <w:t>ticles demandée</w:t>
      </w:r>
      <w:r w:rsidR="00387C35">
        <w:t xml:space="preserve"> pour l’échantillonnage et l</w:t>
      </w:r>
      <w:r w:rsidR="008A2149">
        <w:t xml:space="preserve">es </w:t>
      </w:r>
      <w:r w:rsidR="00B67D5A">
        <w:t>essais</w:t>
      </w:r>
      <w:r w:rsidR="00387C35">
        <w:t xml:space="preserve"> afin de s’assurer que la quantité d’articles </w:t>
      </w:r>
      <w:r w:rsidR="008A2149">
        <w:t xml:space="preserve">expédiée </w:t>
      </w:r>
      <w:r w:rsidR="00387C35">
        <w:t>corresponde à la quantité contenue dans le bon de commande.</w:t>
      </w:r>
    </w:p>
    <w:p w:rsidR="00387C35" w:rsidRDefault="00387C35" w:rsidP="009A146F"/>
    <w:p w:rsidR="00387C35" w:rsidRDefault="00387C35" w:rsidP="009A146F">
      <w:pPr>
        <w:rPr>
          <w:b/>
        </w:rPr>
      </w:pPr>
      <w:r>
        <w:rPr>
          <w:b/>
        </w:rPr>
        <w:t xml:space="preserve">Inspection avant </w:t>
      </w:r>
      <w:r w:rsidR="00AF6D95" w:rsidRPr="00AF6D95">
        <w:rPr>
          <w:rFonts w:cs="Arial"/>
          <w:b/>
          <w:bCs/>
          <w:szCs w:val="20"/>
        </w:rPr>
        <w:t>expédition</w:t>
      </w:r>
      <w:r>
        <w:rPr>
          <w:b/>
        </w:rPr>
        <w:t xml:space="preserve"> et </w:t>
      </w:r>
      <w:r w:rsidR="00B67D5A">
        <w:rPr>
          <w:b/>
        </w:rPr>
        <w:t>essais</w:t>
      </w:r>
    </w:p>
    <w:p w:rsidR="00387C35" w:rsidRDefault="00387C35" w:rsidP="009A146F">
      <w:pPr>
        <w:rPr>
          <w:b/>
        </w:rPr>
      </w:pPr>
    </w:p>
    <w:p w:rsidR="00387C35" w:rsidRDefault="00387C35" w:rsidP="00387C35">
      <w:r>
        <w:t>Le Fournisseur</w:t>
      </w:r>
      <w:r w:rsidR="000654DA">
        <w:t xml:space="preserve"> devra </w:t>
      </w:r>
      <w:r>
        <w:t>autoris</w:t>
      </w:r>
      <w:r w:rsidR="007E2DD5">
        <w:t>er l’UNFPA ou tout</w:t>
      </w:r>
      <w:r>
        <w:t xml:space="preserve"> agent d’inspection mandaté à accéder aux installations à toute heure raisonnable pour évaluer </w:t>
      </w:r>
      <w:r w:rsidR="004A4626">
        <w:t xml:space="preserve">la production, </w:t>
      </w:r>
      <w:r w:rsidR="008A2149">
        <w:t>les essais</w:t>
      </w:r>
      <w:r w:rsidR="004A4626">
        <w:t xml:space="preserve"> et</w:t>
      </w:r>
      <w:r w:rsidR="008A2149">
        <w:t xml:space="preserve"> le conditionnement</w:t>
      </w:r>
      <w:r w:rsidR="004A4626">
        <w:t xml:space="preserve"> des biens, et </w:t>
      </w:r>
      <w:r w:rsidR="000654DA">
        <w:t xml:space="preserve">devra </w:t>
      </w:r>
      <w:r w:rsidR="008A2149">
        <w:t>lui</w:t>
      </w:r>
      <w:r w:rsidR="004A4626">
        <w:t xml:space="preserve"> prêter assistance, y compris en fournissant des copies des résultats d’évaluation ou des rapports de contrôle de qualité. Afin de vérifier les standards de qualité des produits, l’UNFPA se réserve le droit de solliciter aléatoirement un </w:t>
      </w:r>
      <w:r w:rsidR="004A4626">
        <w:lastRenderedPageBreak/>
        <w:t xml:space="preserve">échantillonnage et une </w:t>
      </w:r>
      <w:r w:rsidR="008A2149">
        <w:t>analyse</w:t>
      </w:r>
      <w:r w:rsidR="004A4626">
        <w:t xml:space="preserve"> indépendants. </w:t>
      </w:r>
      <w:r w:rsidR="00492222">
        <w:t>La fréq</w:t>
      </w:r>
      <w:r w:rsidR="00B67D5A">
        <w:t>uence des inspections dépend du programme</w:t>
      </w:r>
      <w:r w:rsidR="00492222">
        <w:t xml:space="preserve"> des échantillonnages et des </w:t>
      </w:r>
      <w:r w:rsidR="008A2149">
        <w:t>analyses</w:t>
      </w:r>
      <w:r w:rsidR="00492222">
        <w:t xml:space="preserve"> menés par l’UNFPA.</w:t>
      </w:r>
    </w:p>
    <w:p w:rsidR="007E2DD5" w:rsidRDefault="007E2DD5" w:rsidP="00387C35"/>
    <w:p w:rsidR="007E2DD5" w:rsidRDefault="007E2DD5" w:rsidP="00387C35">
      <w:r>
        <w:t>L’agence d’inspection de l’UNFPA fera parvenir le rapport d’inspection final au Fournisseur. Le Fournisseur devra envoyer ce rapport par e-mail au consignataire avec les autres documents d’expédition.</w:t>
      </w:r>
    </w:p>
    <w:p w:rsidR="007E2DD5" w:rsidRDefault="007E2DD5" w:rsidP="00387C35"/>
    <w:p w:rsidR="007E2DD5" w:rsidRDefault="007E2DD5" w:rsidP="00387C35">
      <w:r>
        <w:t xml:space="preserve">En cas de découverte de défaut(s) avant l’expédition, le Fournisseur devra remplacer les Biens, corriger le(s) défaut(s) et régler les frais de </w:t>
      </w:r>
      <w:r w:rsidR="00753B17">
        <w:t>réinspection</w:t>
      </w:r>
      <w:r>
        <w:t>.</w:t>
      </w:r>
    </w:p>
    <w:p w:rsidR="00492222" w:rsidRDefault="00492222" w:rsidP="00387C35"/>
    <w:p w:rsidR="00492222" w:rsidRDefault="00492222" w:rsidP="00387C35">
      <w:pPr>
        <w:rPr>
          <w:b/>
        </w:rPr>
      </w:pPr>
      <w:r>
        <w:rPr>
          <w:b/>
        </w:rPr>
        <w:t>Sécurité des produits durant l’inspection</w:t>
      </w:r>
    </w:p>
    <w:p w:rsidR="00492222" w:rsidRDefault="00492222" w:rsidP="00387C35">
      <w:pPr>
        <w:rPr>
          <w:b/>
        </w:rPr>
      </w:pPr>
    </w:p>
    <w:p w:rsidR="00492222" w:rsidRDefault="0071030D" w:rsidP="00387C35">
      <w:r>
        <w:t xml:space="preserve">L’inspecteur, ou l’agent en charge de l’échantillonnage, </w:t>
      </w:r>
      <w:r w:rsidR="000654DA">
        <w:t xml:space="preserve">devra </w:t>
      </w:r>
      <w:r>
        <w:t>emballer les échantillons dans un carton, sceller complètement ce carton (en haut et en bas) et</w:t>
      </w:r>
      <w:r w:rsidR="009A166A">
        <w:t xml:space="preserve"> </w:t>
      </w:r>
      <w:r w:rsidR="008A2149">
        <w:t xml:space="preserve">y </w:t>
      </w:r>
      <w:r w:rsidR="009A166A">
        <w:t>apposer sa signature</w:t>
      </w:r>
      <w:r>
        <w:t>. Lorsque l’agent n’est pas en mesure de surveiller les échantillons (par exemple lors d’une pause-déjeuner ou si l’inspection est menée</w:t>
      </w:r>
      <w:r w:rsidR="008A2149">
        <w:t xml:space="preserve"> sur</w:t>
      </w:r>
      <w:r>
        <w:t xml:space="preserve"> plusieurs jours), le carton doit être remis à une personne désignée à cet effet sur le site de fabrication et conservée de manière sécurisée. Le nom de la personne </w:t>
      </w:r>
      <w:r w:rsidR="000654DA">
        <w:t xml:space="preserve">devra </w:t>
      </w:r>
      <w:r>
        <w:t xml:space="preserve">figurer dans le rapport d’inspection. À son retour, l’inspecteur ou l’agent en charge de l’échantillonnage </w:t>
      </w:r>
      <w:r w:rsidR="000654DA">
        <w:t xml:space="preserve">devra </w:t>
      </w:r>
      <w:r>
        <w:t>vérifier le scellé et la signature sur le carton</w:t>
      </w:r>
      <w:r w:rsidR="009A166A">
        <w:t xml:space="preserve"> pour s’assurer que rien n’a été altéré ou faussé. Les échantillons scellés </w:t>
      </w:r>
      <w:r w:rsidR="000654DA">
        <w:t xml:space="preserve">devront </w:t>
      </w:r>
      <w:r w:rsidR="009A166A">
        <w:t>être remis par l’inspecteur ou l’agent en charge de l’échantillon au service de</w:t>
      </w:r>
      <w:r w:rsidR="005F67CC">
        <w:t xml:space="preserve"> transport</w:t>
      </w:r>
      <w:r w:rsidR="009A166A">
        <w:t xml:space="preserve"> après inspection. Il est de la responsabilité de l’inspecteur ou de l’agent en charge de l’échantillonnage de faire en sorte que le ramassage de l’échantillon concorde avec la fin de l’inspection.</w:t>
      </w:r>
    </w:p>
    <w:p w:rsidR="009A166A" w:rsidRDefault="009A166A" w:rsidP="00387C35"/>
    <w:p w:rsidR="009A166A" w:rsidRDefault="005F0EAA" w:rsidP="00387C35">
      <w:pPr>
        <w:rPr>
          <w:b/>
        </w:rPr>
      </w:pPr>
      <w:r>
        <w:rPr>
          <w:b/>
        </w:rPr>
        <w:t xml:space="preserve">Inspection après expédition et </w:t>
      </w:r>
      <w:r w:rsidR="005741BB">
        <w:rPr>
          <w:b/>
        </w:rPr>
        <w:t>essais</w:t>
      </w:r>
    </w:p>
    <w:p w:rsidR="005F0EAA" w:rsidRDefault="005F0EAA" w:rsidP="00387C35">
      <w:pPr>
        <w:rPr>
          <w:b/>
        </w:rPr>
      </w:pPr>
    </w:p>
    <w:p w:rsidR="005F0EAA" w:rsidRDefault="00B67D5A" w:rsidP="00387C35">
      <w:r>
        <w:t xml:space="preserve">Les </w:t>
      </w:r>
      <w:r w:rsidR="00300547">
        <w:t>Autorités nationale</w:t>
      </w:r>
      <w:r>
        <w:t>s</w:t>
      </w:r>
      <w:r w:rsidR="00631641">
        <w:t xml:space="preserve"> de régulation pharmaceutique (M</w:t>
      </w:r>
      <w:r w:rsidR="00300547">
        <w:t>RA) du pays de destination peu</w:t>
      </w:r>
      <w:r>
        <w:t>ven</w:t>
      </w:r>
      <w:r w:rsidR="00631641">
        <w:t xml:space="preserve">t conduire des inspections après expédition  selon les régulations nationales relatives au contrôle des médicaments. L’UNFPA respecte toute </w:t>
      </w:r>
      <w:r w:rsidR="008A2149">
        <w:t>analyse en laboratoire</w:t>
      </w:r>
      <w:r w:rsidR="00631641">
        <w:t xml:space="preserve"> systématique jugée nécessaire par ces pays et leurs autorités de régulation.</w:t>
      </w:r>
    </w:p>
    <w:p w:rsidR="00631641" w:rsidRDefault="00631641" w:rsidP="00387C35"/>
    <w:p w:rsidR="00631641" w:rsidRDefault="00631641" w:rsidP="00387C35">
      <w:r>
        <w:t xml:space="preserve">L’UNFPA soutient et encourage activement </w:t>
      </w:r>
      <w:r w:rsidR="007348A0">
        <w:t>les laboratoires</w:t>
      </w:r>
      <w:r w:rsidR="008A2149">
        <w:t xml:space="preserve"> d’analyse</w:t>
      </w:r>
      <w:r w:rsidR="007348A0">
        <w:t xml:space="preserve"> à se conformer aux bonnes pratiques concernant les laboratoires de contrôle de la qualité (QCL) comme celles du programme de préqualification de l’OMS ou de la norme ISO 17025.</w:t>
      </w:r>
    </w:p>
    <w:p w:rsidR="007348A0" w:rsidRDefault="007348A0" w:rsidP="00387C35"/>
    <w:p w:rsidR="007348A0" w:rsidRDefault="007348A0" w:rsidP="00387C35">
      <w:r>
        <w:t>Le Fournisseur est tenu de communiquer à l’UNFPA toute information con</w:t>
      </w:r>
      <w:r w:rsidR="00C252CF">
        <w:t>cernant un changement du profil de sécurité des produits</w:t>
      </w:r>
      <w:r w:rsidR="0072072F">
        <w:t>,</w:t>
      </w:r>
      <w:r w:rsidR="00C252CF">
        <w:t xml:space="preserve"> dis</w:t>
      </w:r>
      <w:r w:rsidR="0072072F">
        <w:t>ponible</w:t>
      </w:r>
      <w:r w:rsidR="00C252CF">
        <w:t xml:space="preserve"> auprès des MRA. L’UNFPA se réserve le droit de contacter les MRA au sujet de la qualité, de la sécurité et de l’efficacité des Biens et est disposé à participer aux activités de contrôle après</w:t>
      </w:r>
      <w:r w:rsidR="00583293">
        <w:t xml:space="preserve"> expédition</w:t>
      </w:r>
      <w:r w:rsidR="00C252CF">
        <w:t xml:space="preserve"> en collaboration avec les MRA, l’OMS ou le</w:t>
      </w:r>
      <w:r w:rsidR="005741BB">
        <w:t>s</w:t>
      </w:r>
      <w:r w:rsidR="00C252CF">
        <w:t xml:space="preserve"> partenaire</w:t>
      </w:r>
      <w:r w:rsidR="005741BB">
        <w:t>s</w:t>
      </w:r>
      <w:r w:rsidR="00C252CF">
        <w:t xml:space="preserve"> concerné</w:t>
      </w:r>
      <w:r w:rsidR="005741BB">
        <w:t>s</w:t>
      </w:r>
      <w:r w:rsidR="00C252CF">
        <w:t>.</w:t>
      </w:r>
    </w:p>
    <w:p w:rsidR="00C252CF" w:rsidRDefault="00C252CF" w:rsidP="00387C35"/>
    <w:p w:rsidR="00C252CF" w:rsidRDefault="00A63B1D" w:rsidP="00387C35">
      <w:r>
        <w:t xml:space="preserve">L’UNFPA effectue des inspections et des </w:t>
      </w:r>
      <w:r w:rsidR="008A2149">
        <w:t>analyses</w:t>
      </w:r>
      <w:r>
        <w:t xml:space="preserve"> </w:t>
      </w:r>
      <w:r w:rsidR="00753B17">
        <w:t xml:space="preserve">aléatoires </w:t>
      </w:r>
      <w:r>
        <w:t>après</w:t>
      </w:r>
      <w:r w:rsidR="008A2149">
        <w:t xml:space="preserve"> expédition</w:t>
      </w:r>
      <w:r>
        <w:t xml:space="preserve"> dans certains ports de destination. L’objectif de ces inspections est de </w:t>
      </w:r>
      <w:r w:rsidR="005F67CC">
        <w:t>déterminer si :</w:t>
      </w:r>
    </w:p>
    <w:p w:rsidR="005F67CC" w:rsidRDefault="005F67CC" w:rsidP="00387C35"/>
    <w:p w:rsidR="005F67CC" w:rsidRDefault="005F67CC" w:rsidP="005F67CC">
      <w:pPr>
        <w:pStyle w:val="ListParagraph"/>
        <w:numPr>
          <w:ilvl w:val="0"/>
          <w:numId w:val="9"/>
        </w:numPr>
      </w:pPr>
      <w:r>
        <w:t>Les Biens ont été détériorés durant leur transport.</w:t>
      </w:r>
    </w:p>
    <w:p w:rsidR="005F67CC" w:rsidRDefault="005F67CC" w:rsidP="005F67CC">
      <w:pPr>
        <w:pStyle w:val="ListParagraph"/>
        <w:numPr>
          <w:ilvl w:val="0"/>
          <w:numId w:val="9"/>
        </w:numPr>
      </w:pPr>
      <w:r>
        <w:t>Les Biens ont été falsifiés entre l’inspection et l’arrivée à la destination finale.</w:t>
      </w:r>
    </w:p>
    <w:p w:rsidR="005F67CC" w:rsidRDefault="005F67CC" w:rsidP="005F67CC">
      <w:pPr>
        <w:pStyle w:val="ListParagraph"/>
        <w:numPr>
          <w:ilvl w:val="0"/>
          <w:numId w:val="9"/>
        </w:numPr>
      </w:pPr>
      <w:r>
        <w:t xml:space="preserve">Les Biens soumis à l’inspection avant </w:t>
      </w:r>
      <w:r w:rsidR="00AF6D95">
        <w:rPr>
          <w:rFonts w:cs="Arial"/>
          <w:bCs/>
          <w:szCs w:val="20"/>
        </w:rPr>
        <w:t>expédition</w:t>
      </w:r>
      <w:r>
        <w:t xml:space="preserve"> sont identiques à ceux livrés à la destination finale.</w:t>
      </w:r>
    </w:p>
    <w:p w:rsidR="005F67CC" w:rsidRDefault="005F67CC" w:rsidP="005F67CC"/>
    <w:p w:rsidR="005F67CC" w:rsidRDefault="005F67CC" w:rsidP="005F67CC">
      <w:pPr>
        <w:pStyle w:val="Heading1"/>
        <w:numPr>
          <w:ilvl w:val="0"/>
          <w:numId w:val="1"/>
        </w:numPr>
      </w:pPr>
      <w:bookmarkStart w:id="33" w:name="_Toc369859077"/>
      <w:r>
        <w:t>RÉSOLUTION DES DISPUTES</w:t>
      </w:r>
      <w:bookmarkEnd w:id="33"/>
    </w:p>
    <w:p w:rsidR="005F67CC" w:rsidRDefault="005F67CC" w:rsidP="005F67CC"/>
    <w:p w:rsidR="005F67CC" w:rsidRDefault="005F67CC" w:rsidP="005F67CC">
      <w:r>
        <w:t xml:space="preserve">Si les résultats des </w:t>
      </w:r>
      <w:r w:rsidR="005741BB">
        <w:t xml:space="preserve">essais </w:t>
      </w:r>
      <w:r>
        <w:t xml:space="preserve">conduits par un QCL indépendant désigné par l’UNFPA durant une inspection avant </w:t>
      </w:r>
      <w:r w:rsidR="00AF6D95">
        <w:t xml:space="preserve">ou </w:t>
      </w:r>
      <w:r>
        <w:t>après expédition</w:t>
      </w:r>
      <w:r w:rsidR="00AF6D95">
        <w:t xml:space="preserve"> ne sont pas conformes aux spécifications des standards de pharmacopée, il sera demandé au Fournisseur </w:t>
      </w:r>
      <w:r w:rsidR="0072072F">
        <w:t>d’en examiner les raisons</w:t>
      </w:r>
      <w:r w:rsidR="00AF6D95">
        <w:t xml:space="preserve"> et de remettre un rapport.</w:t>
      </w:r>
    </w:p>
    <w:p w:rsidR="00AF6D95" w:rsidRDefault="00AF6D95" w:rsidP="005F67CC"/>
    <w:p w:rsidR="00AF6D95" w:rsidRDefault="00AF6D95" w:rsidP="005F67CC">
      <w:r>
        <w:t xml:space="preserve">En cas de non-conformité de la qualité du produit, de l’emballage ou de </w:t>
      </w:r>
      <w:r w:rsidRPr="00AF6D95">
        <w:t>l’étiquet</w:t>
      </w:r>
      <w:r w:rsidR="00847F38">
        <w:t>age convenu, il sera</w:t>
      </w:r>
      <w:r>
        <w:t xml:space="preserve"> demandé au Fournisseur de </w:t>
      </w:r>
      <w:r w:rsidR="00847F38">
        <w:t>remplacer</w:t>
      </w:r>
      <w:r w:rsidR="0072072F">
        <w:t>,</w:t>
      </w:r>
      <w:r w:rsidR="00847F38">
        <w:t xml:space="preserve"> à ses frais</w:t>
      </w:r>
      <w:r w:rsidR="0072072F">
        <w:t>,</w:t>
      </w:r>
      <w:r w:rsidR="00847F38">
        <w:t xml:space="preserve"> la totalité du lot ou de rembourser l’UNFPA et de prendre les mesures </w:t>
      </w:r>
      <w:r w:rsidR="00A21EFA">
        <w:t>appropriées</w:t>
      </w:r>
      <w:r w:rsidR="00847F38">
        <w:t xml:space="preserve"> pour éliminer les risques pour la santé des utilisateurs.</w:t>
      </w:r>
    </w:p>
    <w:p w:rsidR="00A21EFA" w:rsidRDefault="00A21EFA" w:rsidP="005F67CC"/>
    <w:p w:rsidR="00A21EFA" w:rsidRDefault="00A21EFA" w:rsidP="00A21EFA">
      <w:pPr>
        <w:pStyle w:val="Heading1"/>
        <w:numPr>
          <w:ilvl w:val="0"/>
          <w:numId w:val="1"/>
        </w:numPr>
        <w:rPr>
          <w:rFonts w:eastAsia="MS Gothic"/>
          <w:i/>
        </w:rPr>
      </w:pPr>
      <w:bookmarkStart w:id="34" w:name="_Toc369859078"/>
      <w:r>
        <w:t xml:space="preserve">GESTION DES RAPPELS DE PRODUITS </w:t>
      </w:r>
      <w:r>
        <w:rPr>
          <w:i/>
        </w:rPr>
        <w:t>[</w:t>
      </w:r>
      <w:r w:rsidRPr="00535644">
        <w:rPr>
          <w:rFonts w:eastAsia="MS Gothic"/>
          <w:i/>
          <w:highlight w:val="yellow"/>
        </w:rPr>
        <w:t>SUPPRIMER SI NÉCESSAIRE]</w:t>
      </w:r>
      <w:bookmarkEnd w:id="34"/>
    </w:p>
    <w:p w:rsidR="00A21EFA" w:rsidRDefault="00A21EFA" w:rsidP="00A21EFA"/>
    <w:p w:rsidR="00A21EFA" w:rsidRDefault="00300547" w:rsidP="00A21EFA">
      <w:r>
        <w:t>L’UNFPA se réserve le droit de suspendre l’approvisionnement de Biens en cas</w:t>
      </w:r>
      <w:r w:rsidR="00CC0E6D">
        <w:t xml:space="preserve"> de</w:t>
      </w:r>
      <w:r>
        <w:t xml:space="preserve"> constatation d’une baisse de la qualité et d’informer publiquement, si nécessaire, les MRA et les patients pouvant être affectés.</w:t>
      </w:r>
    </w:p>
    <w:p w:rsidR="00300547" w:rsidRDefault="00300547" w:rsidP="00A21EFA"/>
    <w:p w:rsidR="00300547" w:rsidRDefault="00300547" w:rsidP="00A21EFA">
      <w:r>
        <w:t>Si</w:t>
      </w:r>
      <w:r w:rsidR="005741BB">
        <w:t xml:space="preserve"> l’UNFPA, en coopération avec les</w:t>
      </w:r>
      <w:r>
        <w:t xml:space="preserve"> MRA du pays de destination des Biens, décide d’effectuer un rappel de produits, le Fournisseur</w:t>
      </w:r>
      <w:r w:rsidR="000654DA">
        <w:t xml:space="preserve"> devra</w:t>
      </w:r>
      <w:r>
        <w:t xml:space="preserve"> engager le rappel et les actions</w:t>
      </w:r>
      <w:r w:rsidR="007C119D">
        <w:t xml:space="preserve"> nécessaire</w:t>
      </w:r>
      <w:r>
        <w:t xml:space="preserve"> associées ou rembourser les frais de rappel à l’UNFPA.</w:t>
      </w:r>
    </w:p>
    <w:p w:rsidR="00300547" w:rsidRDefault="00300547" w:rsidP="00A21EFA"/>
    <w:p w:rsidR="00300547" w:rsidRDefault="00300547" w:rsidP="00300547">
      <w:pPr>
        <w:pStyle w:val="Heading1"/>
        <w:numPr>
          <w:ilvl w:val="0"/>
          <w:numId w:val="1"/>
        </w:numPr>
        <w:rPr>
          <w:rFonts w:eastAsia="MS Gothic"/>
          <w:i/>
        </w:rPr>
      </w:pPr>
      <w:bookmarkStart w:id="35" w:name="_Toc369859079"/>
      <w:r>
        <w:t xml:space="preserve">RESPONSABILITÉ DU FOURNISSEUR </w:t>
      </w:r>
      <w:r w:rsidR="004E10D1">
        <w:t xml:space="preserve">EN CAS DE REJET OU DE RENVOI DES PRODUITS </w:t>
      </w:r>
      <w:r w:rsidR="004E10D1">
        <w:rPr>
          <w:i/>
        </w:rPr>
        <w:t>[</w:t>
      </w:r>
      <w:r w:rsidR="004E10D1" w:rsidRPr="00535644">
        <w:rPr>
          <w:rFonts w:eastAsia="MS Gothic"/>
          <w:i/>
          <w:highlight w:val="yellow"/>
        </w:rPr>
        <w:t>SUPPRIMER SI NÉCESSAIRE]</w:t>
      </w:r>
      <w:bookmarkEnd w:id="35"/>
    </w:p>
    <w:p w:rsidR="004E10D1" w:rsidRDefault="004E10D1" w:rsidP="004E10D1"/>
    <w:p w:rsidR="004E10D1" w:rsidRDefault="004E10D1" w:rsidP="004E10D1">
      <w:pPr>
        <w:rPr>
          <w:rFonts w:eastAsia="MS Gothic"/>
          <w:i/>
        </w:rPr>
      </w:pPr>
      <w:r>
        <w:t xml:space="preserve">Si un produit </w:t>
      </w:r>
      <w:r w:rsidR="00F73E30">
        <w:t xml:space="preserve">est déclaré non conforme suite à une </w:t>
      </w:r>
      <w:r w:rsidR="00401F8A">
        <w:t xml:space="preserve">inspection avant ou après expédition, le Fournisseur est tenu d’organiser </w:t>
      </w:r>
      <w:r w:rsidR="00F73E30">
        <w:t xml:space="preserve">la collecte </w:t>
      </w:r>
      <w:r w:rsidR="00401F8A">
        <w:t xml:space="preserve">et/ou le renvoi des </w:t>
      </w:r>
      <w:r w:rsidR="00F73E30">
        <w:t>B</w:t>
      </w:r>
      <w:r w:rsidR="00401F8A">
        <w:t>iens dans le pays d’origine. Le Fournisseur</w:t>
      </w:r>
      <w:r w:rsidR="000654DA">
        <w:t xml:space="preserve"> devra</w:t>
      </w:r>
      <w:r w:rsidR="00401F8A">
        <w:t xml:space="preserve"> prendre en charge les frais engendrés par </w:t>
      </w:r>
      <w:r w:rsidR="007C119D">
        <w:t xml:space="preserve">toutes les opérations associées. </w:t>
      </w:r>
      <w:r w:rsidR="007C119D">
        <w:rPr>
          <w:i/>
        </w:rPr>
        <w:t>[</w:t>
      </w:r>
      <w:r w:rsidR="007C119D" w:rsidRPr="00535644">
        <w:rPr>
          <w:rFonts w:eastAsia="MS Gothic"/>
          <w:i/>
          <w:highlight w:val="yellow"/>
        </w:rPr>
        <w:t>SUPPRIMER SI NÉCESSAIRE]</w:t>
      </w:r>
    </w:p>
    <w:p w:rsidR="007C119D" w:rsidRDefault="007C119D" w:rsidP="004E10D1">
      <w:pPr>
        <w:rPr>
          <w:rFonts w:eastAsia="MS Gothic"/>
          <w:i/>
        </w:rPr>
      </w:pPr>
    </w:p>
    <w:p w:rsidR="007C119D" w:rsidRDefault="007C119D" w:rsidP="004E10D1">
      <w:pPr>
        <w:rPr>
          <w:rFonts w:eastAsia="MS Gothic"/>
          <w:i/>
        </w:rPr>
      </w:pPr>
      <w:r>
        <w:rPr>
          <w:rFonts w:eastAsia="MS Gothic"/>
        </w:rPr>
        <w:t xml:space="preserve">Si tout ou partie des Biens n’atteint pas la qualité ou ne remplit pas les conditions contenues dans les spécifications, le Fournisseur </w:t>
      </w:r>
      <w:r w:rsidR="000654DA">
        <w:rPr>
          <w:rFonts w:eastAsia="MS Gothic"/>
        </w:rPr>
        <w:t xml:space="preserve">devra </w:t>
      </w:r>
      <w:r>
        <w:rPr>
          <w:rFonts w:eastAsia="MS Gothic"/>
        </w:rPr>
        <w:t>remplacer les articles dans les mêmes délais de livraison</w:t>
      </w:r>
      <w:r w:rsidR="003B4CE1">
        <w:rPr>
          <w:rFonts w:eastAsia="MS Gothic"/>
        </w:rPr>
        <w:t>, sauf si une prorogation</w:t>
      </w:r>
      <w:r w:rsidR="0072072F">
        <w:rPr>
          <w:rFonts w:eastAsia="MS Gothic"/>
        </w:rPr>
        <w:t xml:space="preserve"> est</w:t>
      </w:r>
      <w:r w:rsidR="003B4CE1">
        <w:rPr>
          <w:rFonts w:eastAsia="MS Gothic"/>
        </w:rPr>
        <w:t xml:space="preserve"> accordée. </w:t>
      </w:r>
      <w:r w:rsidR="003B4CE1">
        <w:rPr>
          <w:i/>
        </w:rPr>
        <w:t>[</w:t>
      </w:r>
      <w:r w:rsidR="003B4CE1" w:rsidRPr="00535644">
        <w:rPr>
          <w:rFonts w:eastAsia="MS Gothic"/>
          <w:i/>
          <w:highlight w:val="yellow"/>
        </w:rPr>
        <w:t>SUPPRIMER SI NÉCESSAIRE]</w:t>
      </w:r>
    </w:p>
    <w:p w:rsidR="003B4CE1" w:rsidRDefault="003B4CE1" w:rsidP="004E10D1">
      <w:pPr>
        <w:rPr>
          <w:rFonts w:eastAsia="MS Gothic"/>
        </w:rPr>
      </w:pPr>
    </w:p>
    <w:p w:rsidR="003B4CE1" w:rsidRDefault="0072072F" w:rsidP="004E10D1">
      <w:pPr>
        <w:rPr>
          <w:rFonts w:eastAsia="MS Gothic"/>
        </w:rPr>
      </w:pPr>
      <w:r>
        <w:rPr>
          <w:rFonts w:eastAsia="MS Gothic"/>
        </w:rPr>
        <w:t xml:space="preserve">Lorsque des produits </w:t>
      </w:r>
      <w:r w:rsidR="00F73E30">
        <w:rPr>
          <w:rFonts w:eastAsia="MS Gothic"/>
        </w:rPr>
        <w:t xml:space="preserve">sont déclarés non conformes suite </w:t>
      </w:r>
      <w:r w:rsidR="00F575E7">
        <w:rPr>
          <w:rFonts w:eastAsia="MS Gothic"/>
        </w:rPr>
        <w:t>à</w:t>
      </w:r>
      <w:r w:rsidR="003B4CE1">
        <w:rPr>
          <w:rFonts w:eastAsia="MS Gothic"/>
        </w:rPr>
        <w:t xml:space="preserve"> </w:t>
      </w:r>
      <w:r w:rsidR="00F73E30">
        <w:rPr>
          <w:rFonts w:eastAsia="MS Gothic"/>
        </w:rPr>
        <w:t xml:space="preserve">une </w:t>
      </w:r>
      <w:r w:rsidR="003B4CE1">
        <w:rPr>
          <w:rFonts w:eastAsia="MS Gothic"/>
        </w:rPr>
        <w:t>inspection de</w:t>
      </w:r>
      <w:r w:rsidR="00F73E30">
        <w:rPr>
          <w:rFonts w:eastAsia="MS Gothic"/>
        </w:rPr>
        <w:t xml:space="preserve"> la</w:t>
      </w:r>
      <w:r w:rsidR="003B4CE1">
        <w:rPr>
          <w:rFonts w:eastAsia="MS Gothic"/>
        </w:rPr>
        <w:t xml:space="preserve"> qualité,</w:t>
      </w:r>
      <w:r w:rsidR="00F73E30">
        <w:rPr>
          <w:rFonts w:eastAsia="MS Gothic"/>
        </w:rPr>
        <w:t xml:space="preserve"> soit</w:t>
      </w:r>
      <w:r w:rsidR="003B4CE1">
        <w:rPr>
          <w:rFonts w:eastAsia="MS Gothic"/>
        </w:rPr>
        <w:t xml:space="preserve"> lors de</w:t>
      </w:r>
      <w:r w:rsidR="00772786">
        <w:rPr>
          <w:rFonts w:eastAsia="MS Gothic"/>
        </w:rPr>
        <w:t xml:space="preserve"> l’échantillonnage ou lors des analyses</w:t>
      </w:r>
      <w:r w:rsidR="003B4CE1">
        <w:rPr>
          <w:rFonts w:eastAsia="MS Gothic"/>
        </w:rPr>
        <w:t>, le Fournisseur est tenu de régler les frais de réinspection. Le Fournisseur</w:t>
      </w:r>
      <w:r w:rsidR="000654DA">
        <w:rPr>
          <w:rFonts w:eastAsia="MS Gothic"/>
        </w:rPr>
        <w:t xml:space="preserve"> devra</w:t>
      </w:r>
      <w:r w:rsidR="003B4CE1">
        <w:rPr>
          <w:rFonts w:eastAsia="MS Gothic"/>
        </w:rPr>
        <w:t xml:space="preserve"> régler tous les frais de transport liés au renvoi et au remplacement des produits. </w:t>
      </w:r>
      <w:r w:rsidR="003B4CE1">
        <w:rPr>
          <w:i/>
        </w:rPr>
        <w:t>[</w:t>
      </w:r>
      <w:r w:rsidR="003B4CE1" w:rsidRPr="00535644">
        <w:rPr>
          <w:rFonts w:eastAsia="MS Gothic"/>
          <w:i/>
          <w:highlight w:val="yellow"/>
        </w:rPr>
        <w:t>SUPPRIMER SI NÉCESSAIRE]</w:t>
      </w:r>
    </w:p>
    <w:p w:rsidR="003B4CE1" w:rsidRDefault="003B4CE1" w:rsidP="004E10D1">
      <w:pPr>
        <w:rPr>
          <w:rFonts w:eastAsia="MS Gothic"/>
        </w:rPr>
      </w:pPr>
    </w:p>
    <w:p w:rsidR="003B4CE1" w:rsidRDefault="003B4CE1" w:rsidP="004E10D1">
      <w:pPr>
        <w:rPr>
          <w:rFonts w:eastAsia="MS Gothic"/>
        </w:rPr>
      </w:pPr>
      <w:r>
        <w:rPr>
          <w:rFonts w:eastAsia="MS Gothic"/>
        </w:rPr>
        <w:t xml:space="preserve">Les résultats des tests effectués par les laboratoires nommés par l’UNFPA sont finaux et contraignants. </w:t>
      </w:r>
      <w:r>
        <w:rPr>
          <w:i/>
        </w:rPr>
        <w:t>[</w:t>
      </w:r>
      <w:r w:rsidRPr="00535644">
        <w:rPr>
          <w:rFonts w:eastAsia="MS Gothic"/>
          <w:i/>
          <w:highlight w:val="yellow"/>
        </w:rPr>
        <w:t>SUPPRIMER SI NÉCESSAIRE]</w:t>
      </w:r>
    </w:p>
    <w:p w:rsidR="003B4CE1" w:rsidRDefault="003B4CE1" w:rsidP="004E10D1">
      <w:pPr>
        <w:rPr>
          <w:rFonts w:eastAsia="MS Gothic"/>
        </w:rPr>
      </w:pPr>
    </w:p>
    <w:p w:rsidR="003B4CE1" w:rsidRDefault="003B4CE1" w:rsidP="004E10D1">
      <w:pPr>
        <w:rPr>
          <w:rFonts w:eastAsia="MS Gothic"/>
        </w:rPr>
      </w:pPr>
      <w:r>
        <w:rPr>
          <w:rFonts w:eastAsia="MS Gothic"/>
        </w:rPr>
        <w:t>L’inspection n’acquitte pas le Fournisseur de ses obligations contractuelles</w:t>
      </w:r>
      <w:r w:rsidR="00DF1EDA">
        <w:rPr>
          <w:rFonts w:eastAsia="MS Gothic"/>
        </w:rPr>
        <w:t xml:space="preserve"> et les Biens </w:t>
      </w:r>
      <w:r w:rsidR="000654DA">
        <w:rPr>
          <w:rFonts w:eastAsia="MS Gothic"/>
        </w:rPr>
        <w:t xml:space="preserve">pourront </w:t>
      </w:r>
      <w:r w:rsidR="00873682">
        <w:rPr>
          <w:rFonts w:eastAsia="MS Gothic"/>
        </w:rPr>
        <w:t xml:space="preserve">être </w:t>
      </w:r>
      <w:r w:rsidR="00DF1EDA">
        <w:rPr>
          <w:rFonts w:eastAsia="MS Gothic"/>
        </w:rPr>
        <w:t xml:space="preserve">soumis à une acceptation finale après livraison. </w:t>
      </w:r>
      <w:r w:rsidR="00DF1EDA">
        <w:rPr>
          <w:i/>
        </w:rPr>
        <w:t>[</w:t>
      </w:r>
      <w:r w:rsidR="00DF1EDA" w:rsidRPr="00535644">
        <w:rPr>
          <w:rFonts w:eastAsia="MS Gothic"/>
          <w:i/>
          <w:highlight w:val="yellow"/>
        </w:rPr>
        <w:t>SUPPRIMER SI NÉCESSAIRE]</w:t>
      </w:r>
    </w:p>
    <w:p w:rsidR="00DF1EDA" w:rsidRDefault="00DF1EDA" w:rsidP="004E10D1">
      <w:pPr>
        <w:rPr>
          <w:rFonts w:eastAsia="MS Gothic"/>
        </w:rPr>
      </w:pPr>
    </w:p>
    <w:p w:rsidR="00DF1EDA" w:rsidRDefault="008B79EC" w:rsidP="00DF1EDA">
      <w:pPr>
        <w:pStyle w:val="Heading1"/>
        <w:numPr>
          <w:ilvl w:val="0"/>
          <w:numId w:val="1"/>
        </w:numPr>
        <w:rPr>
          <w:rFonts w:eastAsia="MS Gothic"/>
        </w:rPr>
      </w:pPr>
      <w:bookmarkStart w:id="36" w:name="_Toc369859080"/>
      <w:r>
        <w:rPr>
          <w:rFonts w:eastAsia="MS Gothic"/>
        </w:rPr>
        <w:t>DROITS D’UTILISATION ET DE VENTE</w:t>
      </w:r>
      <w:bookmarkEnd w:id="36"/>
    </w:p>
    <w:p w:rsidR="008B79EC" w:rsidRDefault="008B79EC" w:rsidP="008B79EC"/>
    <w:p w:rsidR="008B79EC" w:rsidRDefault="005741BB" w:rsidP="008B79EC">
      <w:pPr>
        <w:rPr>
          <w:rFonts w:eastAsia="MS Gothic"/>
        </w:rPr>
      </w:pPr>
      <w:r>
        <w:t>Le Fournisseur garantit</w:t>
      </w:r>
      <w:r w:rsidR="008C003D">
        <w:t xml:space="preserve"> qu’aucun accord ou arrangement n’a été passé pour limiter ou restreindre le droit de l’UNFPA ou du Gouver</w:t>
      </w:r>
      <w:r w:rsidR="00F575E7">
        <w:t>nement du pays de destination à utiliser,</w:t>
      </w:r>
      <w:r w:rsidR="008C003D">
        <w:t xml:space="preserve"> revendre, jeter ou</w:t>
      </w:r>
      <w:r w:rsidR="00F575E7">
        <w:t xml:space="preserve"> gérer </w:t>
      </w:r>
      <w:r w:rsidR="00C01507">
        <w:t>de quelque manière tout article concerné par un bon de commande émis</w:t>
      </w:r>
      <w:r w:rsidR="00F575E7">
        <w:t xml:space="preserve"> en vertu de</w:t>
      </w:r>
      <w:r w:rsidR="00C01507">
        <w:t xml:space="preserve"> cet Accord. </w:t>
      </w:r>
      <w:r w:rsidR="00C01507">
        <w:rPr>
          <w:i/>
        </w:rPr>
        <w:t>[</w:t>
      </w:r>
      <w:r w:rsidR="00C01507" w:rsidRPr="00535644">
        <w:rPr>
          <w:rFonts w:eastAsia="MS Gothic"/>
          <w:i/>
          <w:highlight w:val="yellow"/>
        </w:rPr>
        <w:t>SUPPRIMER SI NÉCESSAIRE]</w:t>
      </w:r>
    </w:p>
    <w:p w:rsidR="00C01507" w:rsidRDefault="00C01507" w:rsidP="008B79EC">
      <w:pPr>
        <w:rPr>
          <w:rFonts w:eastAsia="MS Gothic"/>
        </w:rPr>
      </w:pPr>
    </w:p>
    <w:p w:rsidR="00C01507" w:rsidRDefault="00C01507" w:rsidP="008B79EC">
      <w:pPr>
        <w:rPr>
          <w:rFonts w:eastAsia="MS Gothic"/>
        </w:rPr>
      </w:pPr>
      <w:r>
        <w:t>Le Fournisseur dégage</w:t>
      </w:r>
      <w:r w:rsidR="000654DA">
        <w:t>ra</w:t>
      </w:r>
      <w:r>
        <w:t xml:space="preserve"> l’UNFPA de toute responsabilité et l’indemnise de tous les frais</w:t>
      </w:r>
      <w:r w:rsidR="00873682">
        <w:t xml:space="preserve"> si une tierce partie revendique</w:t>
      </w:r>
      <w:r>
        <w:t xml:space="preserve"> les droits de production, d’enregistrement, de vente ou de distribution</w:t>
      </w:r>
      <w:r w:rsidR="005741BB">
        <w:t xml:space="preserve"> des produits fournis selon </w:t>
      </w:r>
      <w:r>
        <w:t xml:space="preserve">un bon de commande. </w:t>
      </w:r>
      <w:r w:rsidRPr="00873682">
        <w:rPr>
          <w:i/>
          <w:highlight w:val="yellow"/>
        </w:rPr>
        <w:t>[</w:t>
      </w:r>
      <w:r w:rsidRPr="00873682">
        <w:rPr>
          <w:rFonts w:eastAsia="MS Gothic"/>
          <w:i/>
          <w:highlight w:val="yellow"/>
        </w:rPr>
        <w:t>SUPPRIMER SI NÉCESSAIRE]</w:t>
      </w:r>
    </w:p>
    <w:p w:rsidR="00C01507" w:rsidRDefault="00C01507" w:rsidP="008B79EC">
      <w:pPr>
        <w:rPr>
          <w:rFonts w:eastAsia="MS Gothic"/>
        </w:rPr>
      </w:pPr>
    </w:p>
    <w:p w:rsidR="00C01507" w:rsidRDefault="00C73B43" w:rsidP="00C01507">
      <w:pPr>
        <w:pStyle w:val="Heading1"/>
        <w:numPr>
          <w:ilvl w:val="0"/>
          <w:numId w:val="1"/>
        </w:numPr>
        <w:rPr>
          <w:rFonts w:eastAsia="MS Gothic"/>
        </w:rPr>
      </w:pPr>
      <w:bookmarkStart w:id="37" w:name="_Toc369859081"/>
      <w:r>
        <w:rPr>
          <w:rFonts w:eastAsia="MS Gothic"/>
        </w:rPr>
        <w:t>RÉSILIATION</w:t>
      </w:r>
      <w:bookmarkEnd w:id="37"/>
    </w:p>
    <w:p w:rsidR="00C73B43" w:rsidRDefault="00C73B43" w:rsidP="00C73B43"/>
    <w:p w:rsidR="00C73B43" w:rsidRDefault="00C73B43" w:rsidP="00C73B43">
      <w:r>
        <w:t xml:space="preserve">Se référer à l’article 20 des </w:t>
      </w:r>
      <w:r w:rsidR="00F73E30">
        <w:t>Conditions générales de l’UNFPA applicables aux contrats relatifs à la fourniture de biens et de services (Annexe I).</w:t>
      </w:r>
    </w:p>
    <w:p w:rsidR="00C73B43" w:rsidRDefault="00C73B43" w:rsidP="00C73B43"/>
    <w:p w:rsidR="00C73B43" w:rsidRDefault="00C73B43" w:rsidP="00C73B43">
      <w:r>
        <w:lastRenderedPageBreak/>
        <w:t>L’ouverture d’un processus d’arbitrage conformément à la clause de règlement des différe</w:t>
      </w:r>
      <w:r w:rsidR="00873682">
        <w:t>nds contenue dans ce document</w:t>
      </w:r>
      <w:r w:rsidR="000654DA">
        <w:t xml:space="preserve"> ne sera</w:t>
      </w:r>
      <w:r>
        <w:t xml:space="preserve"> pas considérée comme un</w:t>
      </w:r>
      <w:r w:rsidR="00873682">
        <w:t>e</w:t>
      </w:r>
      <w:r w:rsidR="00F575E7">
        <w:t xml:space="preserve"> résiliation du LTA</w:t>
      </w:r>
      <w:r>
        <w:t>.</w:t>
      </w:r>
    </w:p>
    <w:p w:rsidR="00C73B43" w:rsidRDefault="00C73B43" w:rsidP="00C73B43"/>
    <w:p w:rsidR="00C73B43" w:rsidRDefault="005B3B58" w:rsidP="00C73B43">
      <w:pPr>
        <w:pStyle w:val="Heading1"/>
        <w:numPr>
          <w:ilvl w:val="0"/>
          <w:numId w:val="1"/>
        </w:numPr>
        <w:rPr>
          <w:rFonts w:eastAsia="MS Gothic"/>
          <w:i/>
        </w:rPr>
      </w:pPr>
      <w:bookmarkStart w:id="38" w:name="_Toc369859082"/>
      <w:r>
        <w:t xml:space="preserve">DOCUMENTS DE DOUANE ET </w:t>
      </w:r>
      <w:r w:rsidR="00C73B43">
        <w:t>D’EXPÉDITION</w:t>
      </w:r>
      <w:r w:rsidR="0004445C">
        <w:t xml:space="preserve"> </w:t>
      </w:r>
      <w:r w:rsidR="0004445C">
        <w:rPr>
          <w:i/>
        </w:rPr>
        <w:t>[</w:t>
      </w:r>
      <w:r w:rsidR="0004445C" w:rsidRPr="00535644">
        <w:rPr>
          <w:rFonts w:eastAsia="MS Gothic"/>
          <w:i/>
          <w:highlight w:val="yellow"/>
        </w:rPr>
        <w:t>SUPPRIMER SI NÉCESSAIRE]</w:t>
      </w:r>
      <w:bookmarkEnd w:id="38"/>
    </w:p>
    <w:p w:rsidR="0004445C" w:rsidRDefault="0004445C" w:rsidP="0004445C"/>
    <w:p w:rsidR="0004445C" w:rsidRDefault="0004445C" w:rsidP="0004445C">
      <w:r>
        <w:t xml:space="preserve">Afin de simplifier les formalités douanières, le Fournisseur </w:t>
      </w:r>
      <w:r w:rsidR="000654DA">
        <w:t xml:space="preserve">devra </w:t>
      </w:r>
      <w:r>
        <w:t xml:space="preserve">faire parvenir les </w:t>
      </w:r>
      <w:r>
        <w:rPr>
          <w:b/>
          <w:u w:val="single"/>
        </w:rPr>
        <w:t>ORIGINAUX</w:t>
      </w:r>
      <w:r>
        <w:t xml:space="preserve"> et les copies des documents d’expédition décrits ci-dessous au consignataire, aux parties à notifier et à l’acheteur de l’UNFPA comme suit :</w:t>
      </w:r>
    </w:p>
    <w:p w:rsidR="0004445C" w:rsidRDefault="0004445C" w:rsidP="0004445C"/>
    <w:tbl>
      <w:tblPr>
        <w:tblStyle w:val="TableList5"/>
        <w:tblW w:w="5005" w:type="pct"/>
        <w:tblLook w:val="04A0" w:firstRow="1" w:lastRow="0" w:firstColumn="1" w:lastColumn="0" w:noHBand="0" w:noVBand="1"/>
      </w:tblPr>
      <w:tblGrid>
        <w:gridCol w:w="2126"/>
        <w:gridCol w:w="1129"/>
        <w:gridCol w:w="1306"/>
        <w:gridCol w:w="1156"/>
        <w:gridCol w:w="1308"/>
        <w:gridCol w:w="920"/>
        <w:gridCol w:w="1306"/>
      </w:tblGrid>
      <w:tr w:rsidR="00BC10F3" w:rsidRPr="008958F7" w:rsidTr="00FB2D9A">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149" w:type="pct"/>
            <w:tcBorders>
              <w:bottom w:val="single" w:sz="4" w:space="0" w:color="auto"/>
              <w:right w:val="single" w:sz="4" w:space="0" w:color="auto"/>
            </w:tcBorders>
          </w:tcPr>
          <w:p w:rsidR="00BC10F3" w:rsidRPr="00207E51" w:rsidRDefault="00BC10F3" w:rsidP="00FB2D9A">
            <w:pPr>
              <w:pStyle w:val="BodyText3"/>
              <w:keepNext/>
              <w:keepLines/>
              <w:spacing w:before="120"/>
              <w:jc w:val="left"/>
              <w:rPr>
                <w:spacing w:val="-2"/>
                <w:sz w:val="20"/>
                <w:szCs w:val="20"/>
              </w:rPr>
            </w:pPr>
          </w:p>
        </w:tc>
        <w:tc>
          <w:tcPr>
            <w:tcW w:w="1316" w:type="pct"/>
            <w:gridSpan w:val="2"/>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keepNext/>
              <w:keepLines/>
              <w:spacing w:before="120"/>
              <w:jc w:val="center"/>
              <w:cnfStyle w:val="100000000000" w:firstRow="1" w:lastRow="0" w:firstColumn="0" w:lastColumn="0" w:oddVBand="0" w:evenVBand="0" w:oddHBand="0" w:evenHBand="0" w:firstRowFirstColumn="0" w:firstRowLastColumn="0" w:lastRowFirstColumn="0" w:lastRowLastColumn="0"/>
              <w:rPr>
                <w:spacing w:val="-2"/>
                <w:sz w:val="20"/>
                <w:szCs w:val="20"/>
              </w:rPr>
            </w:pPr>
            <w:r>
              <w:rPr>
                <w:spacing w:val="-2"/>
                <w:sz w:val="20"/>
                <w:szCs w:val="20"/>
              </w:rPr>
              <w:t>Consignataire</w:t>
            </w:r>
          </w:p>
        </w:tc>
        <w:tc>
          <w:tcPr>
            <w:tcW w:w="1332" w:type="pct"/>
            <w:gridSpan w:val="2"/>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keepNext/>
              <w:keepLines/>
              <w:spacing w:before="120"/>
              <w:jc w:val="center"/>
              <w:cnfStyle w:val="100000000000" w:firstRow="1" w:lastRow="0" w:firstColumn="0" w:lastColumn="0" w:oddVBand="0" w:evenVBand="0" w:oddHBand="0" w:evenHBand="0" w:firstRowFirstColumn="0" w:firstRowLastColumn="0" w:lastRowFirstColumn="0" w:lastRowLastColumn="0"/>
              <w:rPr>
                <w:spacing w:val="-2"/>
                <w:sz w:val="20"/>
                <w:szCs w:val="20"/>
              </w:rPr>
            </w:pPr>
            <w:r>
              <w:rPr>
                <w:spacing w:val="-2"/>
                <w:sz w:val="20"/>
                <w:szCs w:val="20"/>
              </w:rPr>
              <w:t>Partie à notifier</w:t>
            </w:r>
          </w:p>
        </w:tc>
        <w:tc>
          <w:tcPr>
            <w:tcW w:w="1203" w:type="pct"/>
            <w:gridSpan w:val="2"/>
            <w:tcBorders>
              <w:top w:val="single" w:sz="4" w:space="0" w:color="auto"/>
              <w:left w:val="single" w:sz="4" w:space="0" w:color="auto"/>
              <w:bottom w:val="single" w:sz="4" w:space="0" w:color="auto"/>
              <w:right w:val="single" w:sz="4" w:space="0" w:color="auto"/>
            </w:tcBorders>
          </w:tcPr>
          <w:p w:rsidR="00BC10F3" w:rsidRPr="008958F7" w:rsidRDefault="00873682" w:rsidP="00BC10F3">
            <w:pPr>
              <w:pStyle w:val="BodyText3"/>
              <w:keepNext/>
              <w:keepLines/>
              <w:spacing w:before="120"/>
              <w:jc w:val="center"/>
              <w:cnfStyle w:val="100000000000" w:firstRow="1" w:lastRow="0" w:firstColumn="0" w:lastColumn="0" w:oddVBand="0" w:evenVBand="0" w:oddHBand="0" w:evenHBand="0" w:firstRowFirstColumn="0" w:firstRowLastColumn="0" w:lastRowFirstColumn="0" w:lastRowLastColumn="0"/>
              <w:rPr>
                <w:spacing w:val="-2"/>
                <w:sz w:val="20"/>
                <w:szCs w:val="20"/>
              </w:rPr>
            </w:pPr>
            <w:r>
              <w:rPr>
                <w:spacing w:val="-2"/>
                <w:sz w:val="20"/>
                <w:szCs w:val="20"/>
              </w:rPr>
              <w:t>Acheteur de l’UNFPA</w:t>
            </w:r>
          </w:p>
        </w:tc>
      </w:tr>
      <w:tr w:rsidR="00BC10F3" w:rsidRPr="00B80F00" w:rsidTr="00FB2D9A">
        <w:trPr>
          <w:trHeight w:val="150"/>
        </w:trPr>
        <w:tc>
          <w:tcPr>
            <w:cnfStyle w:val="001000000000" w:firstRow="0" w:lastRow="0" w:firstColumn="1" w:lastColumn="0" w:oddVBand="0" w:evenVBand="0" w:oddHBand="0" w:evenHBand="0" w:firstRowFirstColumn="0" w:firstRowLastColumn="0" w:lastRowFirstColumn="0" w:lastRowLastColumn="0"/>
            <w:tcW w:w="1149" w:type="pct"/>
            <w:tcBorders>
              <w:top w:val="single" w:sz="4" w:space="0" w:color="auto"/>
              <w:right w:val="single" w:sz="4" w:space="0" w:color="auto"/>
            </w:tcBorders>
          </w:tcPr>
          <w:p w:rsidR="00BC10F3" w:rsidRPr="0004202F" w:rsidRDefault="00BC10F3" w:rsidP="00FB2D9A">
            <w:pPr>
              <w:pStyle w:val="BodyText3"/>
              <w:keepNext/>
              <w:keepLines/>
              <w:spacing w:before="120"/>
              <w:jc w:val="left"/>
              <w:rPr>
                <w:spacing w:val="-2"/>
                <w:sz w:val="20"/>
                <w:szCs w:val="20"/>
              </w:rPr>
            </w:pPr>
            <w:r>
              <w:rPr>
                <w:spacing w:val="-2"/>
                <w:sz w:val="20"/>
                <w:szCs w:val="20"/>
              </w:rPr>
              <w:t>Type de document requis</w:t>
            </w:r>
          </w:p>
        </w:tc>
        <w:tc>
          <w:tcPr>
            <w:tcW w:w="610" w:type="pct"/>
            <w:tcBorders>
              <w:top w:val="single" w:sz="4" w:space="0" w:color="auto"/>
              <w:left w:val="single" w:sz="4" w:space="0" w:color="auto"/>
              <w:bottom w:val="single" w:sz="4" w:space="0" w:color="auto"/>
              <w:right w:val="single" w:sz="4" w:space="0" w:color="auto"/>
            </w:tcBorders>
          </w:tcPr>
          <w:p w:rsidR="00BC10F3" w:rsidRPr="00B80F00"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18"/>
                <w:szCs w:val="18"/>
              </w:rPr>
            </w:pPr>
            <w:r w:rsidRPr="00B80F00">
              <w:rPr>
                <w:spacing w:val="-2"/>
                <w:sz w:val="18"/>
                <w:szCs w:val="18"/>
              </w:rPr>
              <w:t>Original</w:t>
            </w:r>
          </w:p>
        </w:tc>
        <w:tc>
          <w:tcPr>
            <w:tcW w:w="706" w:type="pct"/>
            <w:tcBorders>
              <w:top w:val="single" w:sz="4" w:space="0" w:color="auto"/>
              <w:left w:val="single" w:sz="4" w:space="0" w:color="auto"/>
              <w:bottom w:val="single" w:sz="4" w:space="0" w:color="auto"/>
              <w:right w:val="single" w:sz="4" w:space="0" w:color="auto"/>
            </w:tcBorders>
          </w:tcPr>
          <w:p w:rsidR="00BC10F3" w:rsidRPr="00B80F00"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18"/>
                <w:szCs w:val="18"/>
              </w:rPr>
            </w:pPr>
            <w:r>
              <w:rPr>
                <w:spacing w:val="-2"/>
                <w:sz w:val="18"/>
                <w:szCs w:val="18"/>
              </w:rPr>
              <w:t xml:space="preserve">Copie </w:t>
            </w:r>
          </w:p>
        </w:tc>
        <w:tc>
          <w:tcPr>
            <w:tcW w:w="625" w:type="pct"/>
            <w:tcBorders>
              <w:top w:val="single" w:sz="4" w:space="0" w:color="auto"/>
              <w:left w:val="single" w:sz="4" w:space="0" w:color="auto"/>
              <w:bottom w:val="single" w:sz="4" w:space="0" w:color="auto"/>
              <w:right w:val="single" w:sz="4" w:space="0" w:color="auto"/>
            </w:tcBorders>
          </w:tcPr>
          <w:p w:rsidR="00BC10F3" w:rsidRPr="00B80F00"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18"/>
                <w:szCs w:val="18"/>
              </w:rPr>
            </w:pPr>
            <w:r w:rsidRPr="00B80F00">
              <w:rPr>
                <w:spacing w:val="-2"/>
                <w:sz w:val="18"/>
                <w:szCs w:val="18"/>
              </w:rPr>
              <w:t>Original</w:t>
            </w:r>
          </w:p>
        </w:tc>
        <w:tc>
          <w:tcPr>
            <w:tcW w:w="707" w:type="pct"/>
            <w:tcBorders>
              <w:top w:val="single" w:sz="4" w:space="0" w:color="auto"/>
              <w:left w:val="single" w:sz="4" w:space="0" w:color="auto"/>
              <w:bottom w:val="single" w:sz="4" w:space="0" w:color="auto"/>
              <w:right w:val="single" w:sz="4" w:space="0" w:color="auto"/>
            </w:tcBorders>
          </w:tcPr>
          <w:p w:rsidR="00BC10F3" w:rsidRPr="00B80F00"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18"/>
                <w:szCs w:val="18"/>
              </w:rPr>
            </w:pPr>
            <w:r>
              <w:rPr>
                <w:spacing w:val="-2"/>
                <w:sz w:val="18"/>
                <w:szCs w:val="18"/>
              </w:rPr>
              <w:t xml:space="preserve">Copie </w:t>
            </w:r>
          </w:p>
        </w:tc>
        <w:tc>
          <w:tcPr>
            <w:tcW w:w="497" w:type="pct"/>
            <w:tcBorders>
              <w:top w:val="single" w:sz="4" w:space="0" w:color="auto"/>
              <w:left w:val="single" w:sz="4" w:space="0" w:color="auto"/>
              <w:bottom w:val="single" w:sz="4" w:space="0" w:color="auto"/>
              <w:right w:val="single" w:sz="4" w:space="0" w:color="auto"/>
            </w:tcBorders>
          </w:tcPr>
          <w:p w:rsidR="00BC10F3" w:rsidRPr="00B80F00"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18"/>
                <w:szCs w:val="18"/>
              </w:rPr>
            </w:pPr>
            <w:r w:rsidRPr="00B80F00">
              <w:rPr>
                <w:spacing w:val="-2"/>
                <w:sz w:val="18"/>
                <w:szCs w:val="18"/>
              </w:rPr>
              <w:t>Original</w:t>
            </w:r>
          </w:p>
        </w:tc>
        <w:tc>
          <w:tcPr>
            <w:tcW w:w="706" w:type="pct"/>
            <w:tcBorders>
              <w:top w:val="single" w:sz="4" w:space="0" w:color="auto"/>
              <w:left w:val="single" w:sz="4" w:space="0" w:color="auto"/>
              <w:bottom w:val="single" w:sz="4" w:space="0" w:color="auto"/>
              <w:right w:val="single" w:sz="4" w:space="0" w:color="auto"/>
            </w:tcBorders>
          </w:tcPr>
          <w:p w:rsidR="00BC10F3" w:rsidRPr="00B80F00"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18"/>
                <w:szCs w:val="18"/>
              </w:rPr>
            </w:pPr>
            <w:r>
              <w:rPr>
                <w:spacing w:val="-2"/>
                <w:sz w:val="18"/>
                <w:szCs w:val="18"/>
              </w:rPr>
              <w:t>Copie</w:t>
            </w:r>
          </w:p>
        </w:tc>
      </w:tr>
      <w:tr w:rsidR="00BC10F3" w:rsidRPr="00633D6E" w:rsidTr="00FB2D9A">
        <w:trPr>
          <w:trHeight w:val="150"/>
        </w:trPr>
        <w:tc>
          <w:tcPr>
            <w:cnfStyle w:val="001000000000" w:firstRow="0" w:lastRow="0" w:firstColumn="1" w:lastColumn="0" w:oddVBand="0" w:evenVBand="0" w:oddHBand="0" w:evenHBand="0" w:firstRowFirstColumn="0" w:firstRowLastColumn="0" w:lastRowFirstColumn="0" w:lastRowLastColumn="0"/>
            <w:tcW w:w="1149" w:type="pct"/>
            <w:tcBorders>
              <w:right w:val="single" w:sz="4" w:space="0" w:color="auto"/>
            </w:tcBorders>
          </w:tcPr>
          <w:p w:rsidR="00BC10F3" w:rsidRPr="00BC10F3" w:rsidRDefault="00BC10F3" w:rsidP="00FB2D9A">
            <w:pPr>
              <w:pStyle w:val="BodyText3"/>
              <w:keepNext/>
              <w:keepLines/>
              <w:spacing w:before="120"/>
              <w:jc w:val="left"/>
              <w:rPr>
                <w:b w:val="0"/>
                <w:spacing w:val="-2"/>
                <w:sz w:val="20"/>
                <w:szCs w:val="20"/>
              </w:rPr>
            </w:pPr>
            <w:r w:rsidRPr="00BC10F3">
              <w:rPr>
                <w:b w:val="0"/>
                <w:spacing w:val="-2"/>
                <w:sz w:val="20"/>
                <w:szCs w:val="20"/>
              </w:rPr>
              <w:t>Facture commerciale</w:t>
            </w:r>
          </w:p>
        </w:tc>
        <w:tc>
          <w:tcPr>
            <w:tcW w:w="610"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2</w:t>
            </w:r>
          </w:p>
        </w:tc>
        <w:tc>
          <w:tcPr>
            <w:tcW w:w="706"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625"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7"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1</w:t>
            </w:r>
          </w:p>
        </w:tc>
        <w:tc>
          <w:tcPr>
            <w:tcW w:w="497" w:type="pct"/>
            <w:tcBorders>
              <w:top w:val="single" w:sz="4" w:space="0" w:color="auto"/>
              <w:left w:val="single" w:sz="4" w:space="0" w:color="auto"/>
              <w:bottom w:val="single" w:sz="4" w:space="0" w:color="auto"/>
              <w:right w:val="single" w:sz="4" w:space="0" w:color="auto"/>
            </w:tcBorders>
          </w:tcPr>
          <w:p w:rsidR="00BC10F3" w:rsidRPr="009E1865" w:rsidRDefault="004D5318"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BC10F3" w:rsidRPr="00633D6E" w:rsidRDefault="004D5318"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2"/>
                <w:szCs w:val="22"/>
              </w:rPr>
            </w:pPr>
            <w:r>
              <w:rPr>
                <w:spacing w:val="-2"/>
                <w:sz w:val="22"/>
                <w:szCs w:val="22"/>
              </w:rPr>
              <w:t>1</w:t>
            </w:r>
          </w:p>
        </w:tc>
      </w:tr>
      <w:tr w:rsidR="00BC10F3" w:rsidRPr="00633D6E" w:rsidTr="00FB2D9A">
        <w:trPr>
          <w:trHeight w:val="150"/>
        </w:trPr>
        <w:tc>
          <w:tcPr>
            <w:cnfStyle w:val="001000000000" w:firstRow="0" w:lastRow="0" w:firstColumn="1" w:lastColumn="0" w:oddVBand="0" w:evenVBand="0" w:oddHBand="0" w:evenHBand="0" w:firstRowFirstColumn="0" w:firstRowLastColumn="0" w:lastRowFirstColumn="0" w:lastRowLastColumn="0"/>
            <w:tcW w:w="1149" w:type="pct"/>
            <w:tcBorders>
              <w:right w:val="single" w:sz="4" w:space="0" w:color="auto"/>
            </w:tcBorders>
          </w:tcPr>
          <w:p w:rsidR="00BC10F3" w:rsidRPr="00BC10F3" w:rsidRDefault="00BC10F3" w:rsidP="003D7401">
            <w:pPr>
              <w:pStyle w:val="BodyText3"/>
              <w:keepNext/>
              <w:keepLines/>
              <w:spacing w:before="120"/>
              <w:jc w:val="left"/>
              <w:rPr>
                <w:b w:val="0"/>
                <w:spacing w:val="-2"/>
                <w:sz w:val="20"/>
                <w:szCs w:val="20"/>
              </w:rPr>
            </w:pPr>
            <w:r w:rsidRPr="00BC10F3">
              <w:rPr>
                <w:b w:val="0"/>
                <w:spacing w:val="-2"/>
                <w:sz w:val="20"/>
                <w:szCs w:val="20"/>
              </w:rPr>
              <w:t>Liste d</w:t>
            </w:r>
            <w:r w:rsidR="003D7401">
              <w:rPr>
                <w:b w:val="0"/>
                <w:spacing w:val="-2"/>
                <w:sz w:val="20"/>
                <w:szCs w:val="20"/>
              </w:rPr>
              <w:t>e</w:t>
            </w:r>
            <w:r w:rsidRPr="00BC10F3">
              <w:rPr>
                <w:b w:val="0"/>
                <w:spacing w:val="-2"/>
                <w:sz w:val="20"/>
                <w:szCs w:val="20"/>
              </w:rPr>
              <w:t xml:space="preserve"> contenu</w:t>
            </w:r>
          </w:p>
        </w:tc>
        <w:tc>
          <w:tcPr>
            <w:tcW w:w="610"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2</w:t>
            </w:r>
          </w:p>
        </w:tc>
        <w:tc>
          <w:tcPr>
            <w:tcW w:w="706"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625"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7"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1</w:t>
            </w:r>
          </w:p>
        </w:tc>
        <w:tc>
          <w:tcPr>
            <w:tcW w:w="497" w:type="pct"/>
            <w:tcBorders>
              <w:top w:val="single" w:sz="4" w:space="0" w:color="auto"/>
              <w:left w:val="single" w:sz="4" w:space="0" w:color="auto"/>
              <w:bottom w:val="single" w:sz="4" w:space="0" w:color="auto"/>
              <w:right w:val="single" w:sz="4" w:space="0" w:color="auto"/>
            </w:tcBorders>
          </w:tcPr>
          <w:p w:rsidR="00BC10F3" w:rsidRPr="009E1865" w:rsidRDefault="004D5318"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BC10F3" w:rsidRPr="00633D6E" w:rsidRDefault="004D5318"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2"/>
                <w:szCs w:val="22"/>
              </w:rPr>
            </w:pPr>
            <w:r>
              <w:rPr>
                <w:spacing w:val="-2"/>
                <w:sz w:val="22"/>
                <w:szCs w:val="22"/>
              </w:rPr>
              <w:t>1</w:t>
            </w:r>
          </w:p>
        </w:tc>
      </w:tr>
      <w:tr w:rsidR="00BC10F3" w:rsidRPr="00633D6E" w:rsidTr="00FB2D9A">
        <w:trPr>
          <w:trHeight w:val="150"/>
        </w:trPr>
        <w:tc>
          <w:tcPr>
            <w:cnfStyle w:val="001000000000" w:firstRow="0" w:lastRow="0" w:firstColumn="1" w:lastColumn="0" w:oddVBand="0" w:evenVBand="0" w:oddHBand="0" w:evenHBand="0" w:firstRowFirstColumn="0" w:firstRowLastColumn="0" w:lastRowFirstColumn="0" w:lastRowLastColumn="0"/>
            <w:tcW w:w="1149" w:type="pct"/>
            <w:tcBorders>
              <w:right w:val="single" w:sz="4" w:space="0" w:color="auto"/>
            </w:tcBorders>
          </w:tcPr>
          <w:p w:rsidR="00BC10F3" w:rsidRPr="00BC10F3" w:rsidRDefault="00FB2D9A" w:rsidP="00FB2D9A">
            <w:pPr>
              <w:pStyle w:val="BodyText3"/>
              <w:keepNext/>
              <w:keepLines/>
              <w:spacing w:before="120"/>
              <w:jc w:val="left"/>
              <w:rPr>
                <w:b w:val="0"/>
                <w:spacing w:val="-2"/>
                <w:sz w:val="20"/>
                <w:szCs w:val="20"/>
              </w:rPr>
            </w:pPr>
            <w:r>
              <w:rPr>
                <w:b w:val="0"/>
                <w:spacing w:val="-2"/>
                <w:sz w:val="20"/>
                <w:szCs w:val="20"/>
              </w:rPr>
              <w:t>C</w:t>
            </w:r>
            <w:r w:rsidR="00BC10F3" w:rsidRPr="00BC10F3">
              <w:rPr>
                <w:b w:val="0"/>
                <w:spacing w:val="-2"/>
                <w:sz w:val="20"/>
                <w:szCs w:val="20"/>
              </w:rPr>
              <w:t xml:space="preserve">onnaissement                              </w:t>
            </w:r>
            <w:r w:rsidR="00BC10F3" w:rsidRPr="00BC10F3">
              <w:rPr>
                <w:b w:val="0"/>
                <w:spacing w:val="-2"/>
                <w:sz w:val="18"/>
                <w:szCs w:val="18"/>
              </w:rPr>
              <w:t>(portant un tampon « fret payé » ou « fret prépayé</w:t>
            </w:r>
            <w:r w:rsidR="00F73E30">
              <w:rPr>
                <w:b w:val="0"/>
                <w:spacing w:val="-2"/>
                <w:sz w:val="18"/>
                <w:szCs w:val="18"/>
              </w:rPr>
              <w:t> »</w:t>
            </w:r>
            <w:r w:rsidR="00BC10F3" w:rsidRPr="00BC10F3">
              <w:rPr>
                <w:b w:val="0"/>
                <w:spacing w:val="-2"/>
                <w:sz w:val="18"/>
                <w:szCs w:val="18"/>
              </w:rPr>
              <w:t>)</w:t>
            </w:r>
          </w:p>
        </w:tc>
        <w:tc>
          <w:tcPr>
            <w:tcW w:w="610" w:type="pct"/>
            <w:tcBorders>
              <w:top w:val="single" w:sz="4" w:space="0" w:color="auto"/>
              <w:left w:val="single" w:sz="4" w:space="0" w:color="auto"/>
              <w:bottom w:val="single" w:sz="4" w:space="0" w:color="auto"/>
              <w:right w:val="single" w:sz="4" w:space="0" w:color="auto"/>
            </w:tcBorders>
            <w:vAlign w:val="center"/>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2</w:t>
            </w:r>
          </w:p>
        </w:tc>
        <w:tc>
          <w:tcPr>
            <w:tcW w:w="706" w:type="pct"/>
            <w:tcBorders>
              <w:top w:val="single" w:sz="4" w:space="0" w:color="auto"/>
              <w:left w:val="single" w:sz="4" w:space="0" w:color="auto"/>
              <w:bottom w:val="single" w:sz="4" w:space="0" w:color="auto"/>
              <w:right w:val="single" w:sz="4" w:space="0" w:color="auto"/>
            </w:tcBorders>
            <w:vAlign w:val="center"/>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625" w:type="pct"/>
            <w:tcBorders>
              <w:top w:val="single" w:sz="4" w:space="0" w:color="auto"/>
              <w:left w:val="single" w:sz="4" w:space="0" w:color="auto"/>
              <w:bottom w:val="single" w:sz="4" w:space="0" w:color="auto"/>
              <w:right w:val="single" w:sz="4" w:space="0" w:color="auto"/>
            </w:tcBorders>
            <w:vAlign w:val="center"/>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7" w:type="pct"/>
            <w:tcBorders>
              <w:top w:val="single" w:sz="4" w:space="0" w:color="auto"/>
              <w:left w:val="single" w:sz="4" w:space="0" w:color="auto"/>
              <w:bottom w:val="single" w:sz="4" w:space="0" w:color="auto"/>
              <w:right w:val="single" w:sz="4" w:space="0" w:color="auto"/>
            </w:tcBorders>
            <w:vAlign w:val="center"/>
          </w:tcPr>
          <w:p w:rsidR="00BC10F3" w:rsidRPr="008958F7" w:rsidRDefault="00BC10F3"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1</w:t>
            </w:r>
          </w:p>
        </w:tc>
        <w:tc>
          <w:tcPr>
            <w:tcW w:w="497" w:type="pct"/>
            <w:tcBorders>
              <w:top w:val="single" w:sz="4" w:space="0" w:color="auto"/>
              <w:left w:val="single" w:sz="4" w:space="0" w:color="auto"/>
              <w:bottom w:val="single" w:sz="4" w:space="0" w:color="auto"/>
              <w:right w:val="single" w:sz="4" w:space="0" w:color="auto"/>
            </w:tcBorders>
            <w:vAlign w:val="center"/>
          </w:tcPr>
          <w:p w:rsidR="00BC10F3" w:rsidRPr="008958F7" w:rsidRDefault="004D5318"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vAlign w:val="center"/>
          </w:tcPr>
          <w:p w:rsidR="00BC10F3" w:rsidRPr="00633D6E" w:rsidRDefault="004D5318" w:rsidP="00BC10F3">
            <w:pPr>
              <w:pStyle w:val="BodyText3"/>
              <w:keepNext/>
              <w:keepLines/>
              <w:spacing w:before="120"/>
              <w:jc w:val="center"/>
              <w:cnfStyle w:val="000000000000" w:firstRow="0" w:lastRow="0" w:firstColumn="0" w:lastColumn="0" w:oddVBand="0" w:evenVBand="0" w:oddHBand="0" w:evenHBand="0" w:firstRowFirstColumn="0" w:firstRowLastColumn="0" w:lastRowFirstColumn="0" w:lastRowLastColumn="0"/>
              <w:rPr>
                <w:spacing w:val="-2"/>
                <w:sz w:val="22"/>
                <w:szCs w:val="22"/>
              </w:rPr>
            </w:pPr>
            <w:r>
              <w:rPr>
                <w:spacing w:val="-2"/>
                <w:sz w:val="22"/>
                <w:szCs w:val="22"/>
              </w:rPr>
              <w:t>1</w:t>
            </w:r>
          </w:p>
        </w:tc>
      </w:tr>
      <w:tr w:rsidR="00BC10F3" w:rsidRPr="00633D6E" w:rsidTr="00FB2D9A">
        <w:trPr>
          <w:trHeight w:val="150"/>
        </w:trPr>
        <w:tc>
          <w:tcPr>
            <w:cnfStyle w:val="001000000000" w:firstRow="0" w:lastRow="0" w:firstColumn="1" w:lastColumn="0" w:oddVBand="0" w:evenVBand="0" w:oddHBand="0" w:evenHBand="0" w:firstRowFirstColumn="0" w:firstRowLastColumn="0" w:lastRowFirstColumn="0" w:lastRowLastColumn="0"/>
            <w:tcW w:w="1149" w:type="pct"/>
            <w:tcBorders>
              <w:right w:val="single" w:sz="4" w:space="0" w:color="auto"/>
            </w:tcBorders>
          </w:tcPr>
          <w:p w:rsidR="00BC10F3" w:rsidRPr="00BC10F3" w:rsidRDefault="00BC10F3" w:rsidP="00FB2D9A">
            <w:pPr>
              <w:pStyle w:val="BodyText3"/>
              <w:spacing w:before="120"/>
              <w:jc w:val="left"/>
              <w:rPr>
                <w:b w:val="0"/>
                <w:spacing w:val="-2"/>
                <w:sz w:val="20"/>
                <w:szCs w:val="20"/>
              </w:rPr>
            </w:pPr>
            <w:r w:rsidRPr="00BC10F3">
              <w:rPr>
                <w:b w:val="0"/>
                <w:spacing w:val="-2"/>
                <w:sz w:val="20"/>
                <w:szCs w:val="20"/>
              </w:rPr>
              <w:t xml:space="preserve">Facture de fret                    </w:t>
            </w:r>
            <w:r w:rsidRPr="00BC10F3">
              <w:rPr>
                <w:b w:val="0"/>
                <w:spacing w:val="-2"/>
              </w:rPr>
              <w:t>(aux fins de paiement)</w:t>
            </w:r>
          </w:p>
        </w:tc>
        <w:tc>
          <w:tcPr>
            <w:tcW w:w="610"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625"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7"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BC10F3" w:rsidRPr="00633D6E"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2"/>
                <w:szCs w:val="22"/>
              </w:rPr>
            </w:pPr>
            <w:r>
              <w:rPr>
                <w:spacing w:val="-2"/>
                <w:sz w:val="22"/>
                <w:szCs w:val="22"/>
              </w:rPr>
              <w:t>1</w:t>
            </w:r>
          </w:p>
        </w:tc>
      </w:tr>
      <w:tr w:rsidR="00BC10F3" w:rsidRPr="00633D6E" w:rsidTr="00FB2D9A">
        <w:trPr>
          <w:trHeight w:val="150"/>
        </w:trPr>
        <w:tc>
          <w:tcPr>
            <w:cnfStyle w:val="001000000000" w:firstRow="0" w:lastRow="0" w:firstColumn="1" w:lastColumn="0" w:oddVBand="0" w:evenVBand="0" w:oddHBand="0" w:evenHBand="0" w:firstRowFirstColumn="0" w:firstRowLastColumn="0" w:lastRowFirstColumn="0" w:lastRowLastColumn="0"/>
            <w:tcW w:w="1149" w:type="pct"/>
            <w:tcBorders>
              <w:right w:val="single" w:sz="4" w:space="0" w:color="auto"/>
            </w:tcBorders>
          </w:tcPr>
          <w:p w:rsidR="00BC10F3" w:rsidRPr="00BC10F3" w:rsidRDefault="00BC10F3" w:rsidP="00FB2D9A">
            <w:pPr>
              <w:pStyle w:val="BodyText3"/>
              <w:spacing w:before="120"/>
              <w:jc w:val="left"/>
              <w:rPr>
                <w:b w:val="0"/>
                <w:spacing w:val="-2"/>
                <w:sz w:val="20"/>
                <w:szCs w:val="20"/>
              </w:rPr>
            </w:pPr>
            <w:r w:rsidRPr="00BC10F3">
              <w:rPr>
                <w:b w:val="0"/>
                <w:spacing w:val="-2"/>
                <w:sz w:val="20"/>
                <w:szCs w:val="20"/>
              </w:rPr>
              <w:t xml:space="preserve">Certificat d’origine </w:t>
            </w:r>
            <w:r w:rsidRPr="00BC10F3">
              <w:rPr>
                <w:b w:val="0"/>
                <w:spacing w:val="-2"/>
              </w:rPr>
              <w:t>(authentifié par la Chambre de commerce</w:t>
            </w:r>
            <w:r w:rsidR="00FB2D9A">
              <w:rPr>
                <w:b w:val="0"/>
                <w:spacing w:val="-2"/>
              </w:rPr>
              <w:t>, si nécessaire</w:t>
            </w:r>
            <w:r w:rsidRPr="00BC10F3">
              <w:rPr>
                <w:b w:val="0"/>
                <w:spacing w:val="-2"/>
              </w:rPr>
              <w:t>)</w:t>
            </w:r>
            <w:r w:rsidRPr="00BC10F3">
              <w:rPr>
                <w:b w:val="0"/>
                <w:spacing w:val="-2"/>
                <w:sz w:val="20"/>
                <w:szCs w:val="20"/>
              </w:rPr>
              <w:t xml:space="preserve"> </w:t>
            </w:r>
          </w:p>
        </w:tc>
        <w:tc>
          <w:tcPr>
            <w:tcW w:w="610"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1</w:t>
            </w:r>
          </w:p>
        </w:tc>
        <w:tc>
          <w:tcPr>
            <w:tcW w:w="706"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625"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7"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1</w:t>
            </w:r>
          </w:p>
        </w:tc>
        <w:tc>
          <w:tcPr>
            <w:tcW w:w="497"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BC10F3" w:rsidRPr="00633D6E"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2"/>
                <w:szCs w:val="22"/>
              </w:rPr>
            </w:pPr>
            <w:r>
              <w:rPr>
                <w:spacing w:val="-2"/>
                <w:sz w:val="22"/>
                <w:szCs w:val="22"/>
              </w:rPr>
              <w:t>1</w:t>
            </w:r>
          </w:p>
        </w:tc>
      </w:tr>
      <w:tr w:rsidR="00BC10F3" w:rsidRPr="00633D6E" w:rsidTr="00FB2D9A">
        <w:trPr>
          <w:trHeight w:val="150"/>
        </w:trPr>
        <w:tc>
          <w:tcPr>
            <w:cnfStyle w:val="001000000000" w:firstRow="0" w:lastRow="0" w:firstColumn="1" w:lastColumn="0" w:oddVBand="0" w:evenVBand="0" w:oddHBand="0" w:evenHBand="0" w:firstRowFirstColumn="0" w:firstRowLastColumn="0" w:lastRowFirstColumn="0" w:lastRowLastColumn="0"/>
            <w:tcW w:w="1149" w:type="pct"/>
            <w:tcBorders>
              <w:right w:val="single" w:sz="4" w:space="0" w:color="auto"/>
            </w:tcBorders>
          </w:tcPr>
          <w:p w:rsidR="00BC10F3" w:rsidRPr="00BC10F3" w:rsidRDefault="00BC10F3" w:rsidP="00FB2D9A">
            <w:pPr>
              <w:pStyle w:val="BodyText3"/>
              <w:spacing w:before="120"/>
              <w:jc w:val="left"/>
              <w:rPr>
                <w:b w:val="0"/>
                <w:spacing w:val="-2"/>
                <w:sz w:val="20"/>
                <w:szCs w:val="20"/>
              </w:rPr>
            </w:pPr>
            <w:r w:rsidRPr="00BC10F3">
              <w:rPr>
                <w:b w:val="0"/>
                <w:spacing w:val="-2"/>
                <w:sz w:val="20"/>
                <w:szCs w:val="20"/>
              </w:rPr>
              <w:t>Certificat d’analyse</w:t>
            </w:r>
          </w:p>
          <w:p w:rsidR="00BC10F3" w:rsidRPr="00BC10F3" w:rsidRDefault="00BC10F3" w:rsidP="00FB2D9A">
            <w:pPr>
              <w:pStyle w:val="BodyText3"/>
              <w:spacing w:before="120"/>
              <w:jc w:val="left"/>
              <w:rPr>
                <w:b w:val="0"/>
                <w:spacing w:val="-2"/>
                <w:sz w:val="20"/>
                <w:szCs w:val="20"/>
              </w:rPr>
            </w:pPr>
            <w:r w:rsidRPr="00BC10F3">
              <w:rPr>
                <w:b w:val="0"/>
                <w:spacing w:val="-2"/>
              </w:rPr>
              <w:t>(si nécessaire)</w:t>
            </w:r>
          </w:p>
        </w:tc>
        <w:tc>
          <w:tcPr>
            <w:tcW w:w="610"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1</w:t>
            </w:r>
          </w:p>
        </w:tc>
        <w:tc>
          <w:tcPr>
            <w:tcW w:w="706"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625"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7"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1</w:t>
            </w:r>
          </w:p>
        </w:tc>
        <w:tc>
          <w:tcPr>
            <w:tcW w:w="497"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BC10F3" w:rsidRPr="00633D6E"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2"/>
                <w:szCs w:val="22"/>
              </w:rPr>
            </w:pPr>
            <w:r>
              <w:rPr>
                <w:spacing w:val="-2"/>
                <w:sz w:val="22"/>
                <w:szCs w:val="22"/>
              </w:rPr>
              <w:t>1</w:t>
            </w:r>
          </w:p>
        </w:tc>
      </w:tr>
      <w:tr w:rsidR="00BC10F3" w:rsidRPr="00633D6E" w:rsidTr="00FB2D9A">
        <w:trPr>
          <w:trHeight w:val="150"/>
        </w:trPr>
        <w:tc>
          <w:tcPr>
            <w:cnfStyle w:val="001000000000" w:firstRow="0" w:lastRow="0" w:firstColumn="1" w:lastColumn="0" w:oddVBand="0" w:evenVBand="0" w:oddHBand="0" w:evenHBand="0" w:firstRowFirstColumn="0" w:firstRowLastColumn="0" w:lastRowFirstColumn="0" w:lastRowLastColumn="0"/>
            <w:tcW w:w="1149" w:type="pct"/>
            <w:tcBorders>
              <w:right w:val="single" w:sz="4" w:space="0" w:color="auto"/>
            </w:tcBorders>
          </w:tcPr>
          <w:p w:rsidR="00BC10F3" w:rsidRPr="00BC10F3" w:rsidRDefault="00BC10F3" w:rsidP="00F8485A">
            <w:pPr>
              <w:pStyle w:val="BodyText3"/>
              <w:spacing w:before="120"/>
              <w:jc w:val="left"/>
              <w:rPr>
                <w:b w:val="0"/>
                <w:spacing w:val="-2"/>
                <w:sz w:val="20"/>
                <w:szCs w:val="20"/>
              </w:rPr>
            </w:pPr>
            <w:r w:rsidRPr="00BC10F3">
              <w:rPr>
                <w:b w:val="0"/>
                <w:spacing w:val="-2"/>
                <w:sz w:val="20"/>
                <w:szCs w:val="20"/>
              </w:rPr>
              <w:t xml:space="preserve">Certificat de garantie du fabriquant                           </w:t>
            </w:r>
            <w:r w:rsidRPr="00BC10F3">
              <w:rPr>
                <w:b w:val="0"/>
                <w:spacing w:val="-2"/>
              </w:rPr>
              <w:t>(</w:t>
            </w:r>
            <w:r w:rsidR="00F8485A">
              <w:rPr>
                <w:b w:val="0"/>
                <w:spacing w:val="-2"/>
              </w:rPr>
              <w:t xml:space="preserve">pour les articles électroniques, d’équipement, etc… </w:t>
            </w:r>
            <w:r w:rsidRPr="00BC10F3">
              <w:rPr>
                <w:b w:val="0"/>
                <w:spacing w:val="-2"/>
              </w:rPr>
              <w:t>si nécessaire)</w:t>
            </w:r>
          </w:p>
        </w:tc>
        <w:tc>
          <w:tcPr>
            <w:tcW w:w="610"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1</w:t>
            </w:r>
          </w:p>
        </w:tc>
        <w:tc>
          <w:tcPr>
            <w:tcW w:w="706"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1</w:t>
            </w:r>
          </w:p>
        </w:tc>
        <w:tc>
          <w:tcPr>
            <w:tcW w:w="625"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7"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497" w:type="pct"/>
            <w:tcBorders>
              <w:top w:val="single" w:sz="4" w:space="0" w:color="auto"/>
              <w:left w:val="single" w:sz="4" w:space="0" w:color="auto"/>
              <w:bottom w:val="single" w:sz="4" w:space="0" w:color="auto"/>
              <w:right w:val="single" w:sz="4" w:space="0" w:color="auto"/>
            </w:tcBorders>
          </w:tcPr>
          <w:p w:rsidR="00BC10F3" w:rsidRPr="008958F7"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8958F7">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BC10F3" w:rsidRPr="00633D6E" w:rsidRDefault="00BC10F3"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2"/>
                <w:szCs w:val="22"/>
              </w:rPr>
            </w:pPr>
            <w:r>
              <w:rPr>
                <w:spacing w:val="-2"/>
                <w:sz w:val="22"/>
                <w:szCs w:val="22"/>
              </w:rPr>
              <w:t>0</w:t>
            </w:r>
          </w:p>
        </w:tc>
      </w:tr>
      <w:tr w:rsidR="00F73E30" w:rsidRPr="00633D6E" w:rsidTr="00FB2D9A">
        <w:trPr>
          <w:trHeight w:val="150"/>
        </w:trPr>
        <w:tc>
          <w:tcPr>
            <w:cnfStyle w:val="001000000000" w:firstRow="0" w:lastRow="0" w:firstColumn="1" w:lastColumn="0" w:oddVBand="0" w:evenVBand="0" w:oddHBand="0" w:evenHBand="0" w:firstRowFirstColumn="0" w:firstRowLastColumn="0" w:lastRowFirstColumn="0" w:lastRowLastColumn="0"/>
            <w:tcW w:w="1149" w:type="pct"/>
            <w:tcBorders>
              <w:right w:val="single" w:sz="4" w:space="0" w:color="auto"/>
            </w:tcBorders>
          </w:tcPr>
          <w:p w:rsidR="00F73E30" w:rsidRPr="00BC10F3" w:rsidRDefault="00F73E30" w:rsidP="00F8485A">
            <w:pPr>
              <w:pStyle w:val="BodyText3"/>
              <w:spacing w:before="120"/>
              <w:jc w:val="left"/>
              <w:rPr>
                <w:b w:val="0"/>
                <w:spacing w:val="-2"/>
                <w:sz w:val="20"/>
                <w:szCs w:val="20"/>
              </w:rPr>
            </w:pPr>
            <w:r>
              <w:rPr>
                <w:b w:val="0"/>
                <w:spacing w:val="-2"/>
                <w:sz w:val="20"/>
                <w:szCs w:val="20"/>
              </w:rPr>
              <w:t>Capture d’écran de l’OTS</w:t>
            </w:r>
          </w:p>
        </w:tc>
        <w:tc>
          <w:tcPr>
            <w:tcW w:w="610" w:type="pct"/>
            <w:tcBorders>
              <w:top w:val="single" w:sz="4" w:space="0" w:color="auto"/>
              <w:left w:val="single" w:sz="4" w:space="0" w:color="auto"/>
              <w:bottom w:val="single" w:sz="4" w:space="0" w:color="auto"/>
              <w:right w:val="single" w:sz="4" w:space="0" w:color="auto"/>
            </w:tcBorders>
          </w:tcPr>
          <w:p w:rsidR="00F73E30" w:rsidRPr="008958F7"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F73E30" w:rsidRPr="008958F7"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1</w:t>
            </w:r>
          </w:p>
        </w:tc>
        <w:tc>
          <w:tcPr>
            <w:tcW w:w="625" w:type="pct"/>
            <w:tcBorders>
              <w:top w:val="single" w:sz="4" w:space="0" w:color="auto"/>
              <w:left w:val="single" w:sz="4" w:space="0" w:color="auto"/>
              <w:bottom w:val="single" w:sz="4" w:space="0" w:color="auto"/>
              <w:right w:val="single" w:sz="4" w:space="0" w:color="auto"/>
            </w:tcBorders>
          </w:tcPr>
          <w:p w:rsidR="00F73E30" w:rsidRPr="008958F7"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0</w:t>
            </w:r>
          </w:p>
        </w:tc>
        <w:tc>
          <w:tcPr>
            <w:tcW w:w="707" w:type="pct"/>
            <w:tcBorders>
              <w:top w:val="single" w:sz="4" w:space="0" w:color="auto"/>
              <w:left w:val="single" w:sz="4" w:space="0" w:color="auto"/>
              <w:bottom w:val="single" w:sz="4" w:space="0" w:color="auto"/>
              <w:right w:val="single" w:sz="4" w:space="0" w:color="auto"/>
            </w:tcBorders>
          </w:tcPr>
          <w:p w:rsidR="00F73E30" w:rsidRPr="008958F7"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1</w:t>
            </w:r>
          </w:p>
        </w:tc>
        <w:tc>
          <w:tcPr>
            <w:tcW w:w="497" w:type="pct"/>
            <w:tcBorders>
              <w:top w:val="single" w:sz="4" w:space="0" w:color="auto"/>
              <w:left w:val="single" w:sz="4" w:space="0" w:color="auto"/>
              <w:bottom w:val="single" w:sz="4" w:space="0" w:color="auto"/>
              <w:right w:val="single" w:sz="4" w:space="0" w:color="auto"/>
            </w:tcBorders>
          </w:tcPr>
          <w:p w:rsidR="00F73E30" w:rsidRPr="008958F7"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F73E30"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2"/>
                <w:szCs w:val="22"/>
              </w:rPr>
            </w:pPr>
            <w:r>
              <w:rPr>
                <w:spacing w:val="-2"/>
                <w:sz w:val="22"/>
                <w:szCs w:val="22"/>
              </w:rPr>
              <w:t>1</w:t>
            </w:r>
          </w:p>
        </w:tc>
      </w:tr>
      <w:tr w:rsidR="00F73E30" w:rsidRPr="00633D6E" w:rsidTr="00FB2D9A">
        <w:trPr>
          <w:trHeight w:val="150"/>
        </w:trPr>
        <w:tc>
          <w:tcPr>
            <w:cnfStyle w:val="001000000000" w:firstRow="0" w:lastRow="0" w:firstColumn="1" w:lastColumn="0" w:oddVBand="0" w:evenVBand="0" w:oddHBand="0" w:evenHBand="0" w:firstRowFirstColumn="0" w:firstRowLastColumn="0" w:lastRowFirstColumn="0" w:lastRowLastColumn="0"/>
            <w:tcW w:w="1149" w:type="pct"/>
            <w:tcBorders>
              <w:right w:val="single" w:sz="4" w:space="0" w:color="auto"/>
            </w:tcBorders>
          </w:tcPr>
          <w:p w:rsidR="00F73E30" w:rsidRPr="00BC10F3" w:rsidRDefault="00F73E30" w:rsidP="00F73E30">
            <w:pPr>
              <w:pStyle w:val="BodyText3"/>
              <w:spacing w:before="120"/>
              <w:jc w:val="left"/>
              <w:rPr>
                <w:b w:val="0"/>
                <w:spacing w:val="-2"/>
                <w:sz w:val="20"/>
                <w:szCs w:val="20"/>
              </w:rPr>
            </w:pPr>
            <w:r>
              <w:rPr>
                <w:b w:val="0"/>
                <w:spacing w:val="-2"/>
                <w:sz w:val="20"/>
                <w:szCs w:val="20"/>
              </w:rPr>
              <w:t>Rapport d’inspection avant embarquement</w:t>
            </w:r>
          </w:p>
        </w:tc>
        <w:tc>
          <w:tcPr>
            <w:tcW w:w="610" w:type="pct"/>
            <w:tcBorders>
              <w:top w:val="single" w:sz="4" w:space="0" w:color="auto"/>
              <w:left w:val="single" w:sz="4" w:space="0" w:color="auto"/>
              <w:bottom w:val="single" w:sz="4" w:space="0" w:color="auto"/>
              <w:right w:val="single" w:sz="4" w:space="0" w:color="auto"/>
            </w:tcBorders>
          </w:tcPr>
          <w:p w:rsidR="00F73E30" w:rsidRPr="008958F7"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F73E30" w:rsidRPr="008958F7"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1</w:t>
            </w:r>
          </w:p>
        </w:tc>
        <w:tc>
          <w:tcPr>
            <w:tcW w:w="625" w:type="pct"/>
            <w:tcBorders>
              <w:top w:val="single" w:sz="4" w:space="0" w:color="auto"/>
              <w:left w:val="single" w:sz="4" w:space="0" w:color="auto"/>
              <w:bottom w:val="single" w:sz="4" w:space="0" w:color="auto"/>
              <w:right w:val="single" w:sz="4" w:space="0" w:color="auto"/>
            </w:tcBorders>
          </w:tcPr>
          <w:p w:rsidR="00F73E30" w:rsidRPr="008958F7"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0</w:t>
            </w:r>
          </w:p>
        </w:tc>
        <w:tc>
          <w:tcPr>
            <w:tcW w:w="707" w:type="pct"/>
            <w:tcBorders>
              <w:top w:val="single" w:sz="4" w:space="0" w:color="auto"/>
              <w:left w:val="single" w:sz="4" w:space="0" w:color="auto"/>
              <w:bottom w:val="single" w:sz="4" w:space="0" w:color="auto"/>
              <w:right w:val="single" w:sz="4" w:space="0" w:color="auto"/>
            </w:tcBorders>
          </w:tcPr>
          <w:p w:rsidR="00F73E30" w:rsidRPr="008958F7"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1</w:t>
            </w:r>
          </w:p>
        </w:tc>
        <w:tc>
          <w:tcPr>
            <w:tcW w:w="497" w:type="pct"/>
            <w:tcBorders>
              <w:top w:val="single" w:sz="4" w:space="0" w:color="auto"/>
              <w:left w:val="single" w:sz="4" w:space="0" w:color="auto"/>
              <w:bottom w:val="single" w:sz="4" w:space="0" w:color="auto"/>
              <w:right w:val="single" w:sz="4" w:space="0" w:color="auto"/>
            </w:tcBorders>
          </w:tcPr>
          <w:p w:rsidR="00F73E30" w:rsidRPr="008958F7"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0</w:t>
            </w:r>
          </w:p>
        </w:tc>
        <w:tc>
          <w:tcPr>
            <w:tcW w:w="706" w:type="pct"/>
            <w:tcBorders>
              <w:top w:val="single" w:sz="4" w:space="0" w:color="auto"/>
              <w:left w:val="single" w:sz="4" w:space="0" w:color="auto"/>
              <w:bottom w:val="single" w:sz="4" w:space="0" w:color="auto"/>
              <w:right w:val="single" w:sz="4" w:space="0" w:color="auto"/>
            </w:tcBorders>
          </w:tcPr>
          <w:p w:rsidR="00F73E30" w:rsidRDefault="00F73E30" w:rsidP="00BC10F3">
            <w:pPr>
              <w:pStyle w:val="BodyText3"/>
              <w:spacing w:before="120"/>
              <w:jc w:val="center"/>
              <w:cnfStyle w:val="000000000000" w:firstRow="0" w:lastRow="0" w:firstColumn="0" w:lastColumn="0" w:oddVBand="0" w:evenVBand="0" w:oddHBand="0" w:evenHBand="0" w:firstRowFirstColumn="0" w:firstRowLastColumn="0" w:lastRowFirstColumn="0" w:lastRowLastColumn="0"/>
              <w:rPr>
                <w:spacing w:val="-2"/>
                <w:sz w:val="22"/>
                <w:szCs w:val="22"/>
              </w:rPr>
            </w:pPr>
            <w:r>
              <w:rPr>
                <w:spacing w:val="-2"/>
                <w:sz w:val="22"/>
                <w:szCs w:val="22"/>
              </w:rPr>
              <w:t>1</w:t>
            </w:r>
          </w:p>
        </w:tc>
      </w:tr>
    </w:tbl>
    <w:p w:rsidR="0004445C" w:rsidRDefault="0004445C" w:rsidP="0004445C"/>
    <w:p w:rsidR="00FB2D9A" w:rsidRDefault="00184AD6" w:rsidP="0004445C">
      <w:r>
        <w:t>Le Fournisseur</w:t>
      </w:r>
      <w:r w:rsidR="000654DA">
        <w:t xml:space="preserve"> devra</w:t>
      </w:r>
      <w:r>
        <w:t xml:space="preserve"> aussi suivre les instructions d’expédition particulières et fournir les documents d’expédition et de douane mentionnés dans chaque bon de commande.</w:t>
      </w:r>
    </w:p>
    <w:p w:rsidR="004D5318" w:rsidRDefault="004D5318" w:rsidP="0004445C"/>
    <w:p w:rsidR="004D5318" w:rsidRDefault="004D5318" w:rsidP="0004445C">
      <w:r>
        <w:t xml:space="preserve">Si le pays de destination accepte la lettre de transport maritime, </w:t>
      </w:r>
      <w:r w:rsidR="00B51A10">
        <w:t>elle devra être utilisée à la place du connaissement maritime pour accélérer le dédouanement.</w:t>
      </w:r>
    </w:p>
    <w:p w:rsidR="00184AD6" w:rsidRDefault="00184AD6" w:rsidP="0004445C"/>
    <w:p w:rsidR="00184AD6" w:rsidRDefault="00184AD6" w:rsidP="0004445C">
      <w:pPr>
        <w:rPr>
          <w:rFonts w:eastAsia="MS Gothic"/>
          <w:i/>
        </w:rPr>
      </w:pPr>
      <w:r>
        <w:t>Des copies au format électronique de tous les documents d’expédition</w:t>
      </w:r>
      <w:r w:rsidR="000654DA">
        <w:t xml:space="preserve"> devront</w:t>
      </w:r>
      <w:r>
        <w:t xml:space="preserve"> être envoyées par e-mail à l’acheteur de l’UNFPA et au consignataire dès que possible  pour simplifier le</w:t>
      </w:r>
      <w:r w:rsidR="00DF1BEC">
        <w:t xml:space="preserve"> dédouanement </w:t>
      </w:r>
      <w:r>
        <w:t xml:space="preserve">et le paiement. </w:t>
      </w:r>
      <w:r w:rsidR="00407B2A" w:rsidRPr="00407B2A">
        <w:t xml:space="preserve">Ces informations comprennent, </w:t>
      </w:r>
      <w:r w:rsidR="004D6B39">
        <w:t>mais sans s’y restreindre</w:t>
      </w:r>
      <w:r w:rsidR="00407B2A" w:rsidRPr="00407B2A">
        <w:t> :</w:t>
      </w:r>
      <w:r w:rsidR="00407B2A">
        <w:t xml:space="preserve"> </w:t>
      </w:r>
      <w:r w:rsidR="00407B2A" w:rsidRPr="00873682">
        <w:rPr>
          <w:i/>
          <w:highlight w:val="yellow"/>
        </w:rPr>
        <w:t>[</w:t>
      </w:r>
      <w:r w:rsidR="00407B2A" w:rsidRPr="00873682">
        <w:rPr>
          <w:rFonts w:eastAsia="MS Gothic"/>
          <w:i/>
          <w:highlight w:val="yellow"/>
        </w:rPr>
        <w:t>SUPPRIMER SI NÉCESSAIRE]</w:t>
      </w:r>
    </w:p>
    <w:p w:rsidR="00407B2A" w:rsidRDefault="00407B2A" w:rsidP="0004445C">
      <w:pPr>
        <w:rPr>
          <w:rFonts w:eastAsia="MS Gothic"/>
          <w:i/>
        </w:rPr>
      </w:pPr>
    </w:p>
    <w:p w:rsidR="00407B2A" w:rsidRDefault="00407B2A" w:rsidP="00407B2A">
      <w:pPr>
        <w:pStyle w:val="ListParagraph"/>
        <w:numPr>
          <w:ilvl w:val="0"/>
          <w:numId w:val="10"/>
        </w:numPr>
      </w:pPr>
      <w:r>
        <w:t>Le nom du transporteur ;</w:t>
      </w:r>
    </w:p>
    <w:p w:rsidR="00407B2A" w:rsidRDefault="00407B2A" w:rsidP="00407B2A">
      <w:pPr>
        <w:pStyle w:val="ListParagraph"/>
        <w:numPr>
          <w:ilvl w:val="0"/>
          <w:numId w:val="10"/>
        </w:numPr>
      </w:pPr>
      <w:r>
        <w:t>Le nom du navire ;</w:t>
      </w:r>
    </w:p>
    <w:p w:rsidR="00407B2A" w:rsidRDefault="00407B2A" w:rsidP="00407B2A">
      <w:pPr>
        <w:pStyle w:val="ListParagraph"/>
        <w:numPr>
          <w:ilvl w:val="0"/>
          <w:numId w:val="10"/>
        </w:numPr>
      </w:pPr>
      <w:r>
        <w:t>L’organisation du trajet ;</w:t>
      </w:r>
    </w:p>
    <w:p w:rsidR="00407B2A" w:rsidRDefault="00407B2A" w:rsidP="00407B2A">
      <w:pPr>
        <w:pStyle w:val="ListParagraph"/>
        <w:numPr>
          <w:ilvl w:val="0"/>
          <w:numId w:val="10"/>
        </w:numPr>
      </w:pPr>
      <w:r>
        <w:t>L’heure estimée de départ (ETD) ;</w:t>
      </w:r>
    </w:p>
    <w:p w:rsidR="00407B2A" w:rsidRDefault="00407B2A" w:rsidP="00407B2A">
      <w:pPr>
        <w:pStyle w:val="ListParagraph"/>
        <w:numPr>
          <w:ilvl w:val="0"/>
          <w:numId w:val="10"/>
        </w:numPr>
      </w:pPr>
      <w:r>
        <w:t xml:space="preserve">L’heure estimée d’arrivée à </w:t>
      </w:r>
      <w:r w:rsidR="00B2707A">
        <w:t xml:space="preserve">la </w:t>
      </w:r>
      <w:r>
        <w:t xml:space="preserve">destination </w:t>
      </w:r>
      <w:r w:rsidR="00B2707A">
        <w:t>finale</w:t>
      </w:r>
      <w:r>
        <w:t>(ETA) ;</w:t>
      </w:r>
    </w:p>
    <w:p w:rsidR="00407B2A" w:rsidRDefault="00407B2A" w:rsidP="00407B2A">
      <w:pPr>
        <w:pStyle w:val="ListParagraph"/>
        <w:numPr>
          <w:ilvl w:val="0"/>
          <w:numId w:val="10"/>
        </w:numPr>
      </w:pPr>
      <w:r>
        <w:t>Le numéro de vol ;</w:t>
      </w:r>
    </w:p>
    <w:p w:rsidR="00407B2A" w:rsidRDefault="00407B2A" w:rsidP="00407B2A">
      <w:pPr>
        <w:pStyle w:val="ListParagraph"/>
        <w:numPr>
          <w:ilvl w:val="0"/>
          <w:numId w:val="10"/>
        </w:numPr>
      </w:pPr>
      <w:r>
        <w:t>Etc…</w:t>
      </w:r>
    </w:p>
    <w:p w:rsidR="00407B2A" w:rsidRDefault="00407B2A" w:rsidP="00407B2A"/>
    <w:p w:rsidR="004E1005" w:rsidRDefault="004E1005" w:rsidP="00407B2A">
      <w:pPr>
        <w:rPr>
          <w:rFonts w:eastAsia="MS Gothic"/>
          <w:i/>
        </w:rPr>
      </w:pPr>
      <w:r>
        <w:rPr>
          <w:b/>
          <w:u w:val="single"/>
        </w:rPr>
        <w:t>TOUS LES DOCUMENTS ORIGINAUX</w:t>
      </w:r>
      <w:r>
        <w:t xml:space="preserve"> concernant le transport maritime</w:t>
      </w:r>
      <w:r w:rsidR="000654DA">
        <w:t xml:space="preserve"> devront</w:t>
      </w:r>
      <w:r>
        <w:t xml:space="preserve"> être fournis au moins </w:t>
      </w:r>
      <w:r>
        <w:rPr>
          <w:b/>
          <w:u w:val="single"/>
        </w:rPr>
        <w:t>DEUX (2) SEMAINES</w:t>
      </w:r>
      <w:r>
        <w:t xml:space="preserve"> avant l’arrivée des Biens à destination. </w:t>
      </w:r>
      <w:r>
        <w:rPr>
          <w:b/>
          <w:u w:val="single"/>
        </w:rPr>
        <w:t>TOUS LES DOCUMENTS ORIGINAUX</w:t>
      </w:r>
      <w:r>
        <w:t xml:space="preserve"> concernant le transport aérien </w:t>
      </w:r>
      <w:r w:rsidR="000654DA">
        <w:t xml:space="preserve">devront </w:t>
      </w:r>
      <w:r>
        <w:t xml:space="preserve">être envoyés par courrier express le même jour que les Biens. </w:t>
      </w:r>
      <w:r w:rsidRPr="00873682">
        <w:rPr>
          <w:i/>
          <w:highlight w:val="yellow"/>
        </w:rPr>
        <w:t>[</w:t>
      </w:r>
      <w:r w:rsidRPr="00873682">
        <w:rPr>
          <w:rFonts w:eastAsia="MS Gothic"/>
          <w:i/>
          <w:highlight w:val="yellow"/>
        </w:rPr>
        <w:t>SUPPRIMER SI NÉCESSAIRE]</w:t>
      </w:r>
    </w:p>
    <w:p w:rsidR="00F8485A" w:rsidRDefault="00F8485A" w:rsidP="00407B2A">
      <w:pPr>
        <w:rPr>
          <w:rFonts w:eastAsia="MS Gothic"/>
          <w:i/>
        </w:rPr>
      </w:pPr>
    </w:p>
    <w:p w:rsidR="00A61B4F" w:rsidRDefault="00B2707A" w:rsidP="00407B2A">
      <w:pPr>
        <w:rPr>
          <w:rFonts w:eastAsia="MS Gothic"/>
        </w:rPr>
      </w:pPr>
      <w:r>
        <w:rPr>
          <w:rFonts w:eastAsia="MS Gothic"/>
        </w:rPr>
        <w:t>Tou</w:t>
      </w:r>
      <w:r w:rsidR="002F3C8D">
        <w:rPr>
          <w:rFonts w:eastAsia="MS Gothic"/>
        </w:rPr>
        <w:t>t coût supplémentaire causé par</w:t>
      </w:r>
      <w:r w:rsidR="004E1005">
        <w:rPr>
          <w:rFonts w:eastAsia="MS Gothic"/>
        </w:rPr>
        <w:t xml:space="preserve"> des documents d’expédition manquants ou incomplets concernant le transport maritime et aérien</w:t>
      </w:r>
      <w:r w:rsidR="00A61B4F">
        <w:rPr>
          <w:rFonts w:eastAsia="MS Gothic"/>
        </w:rPr>
        <w:t xml:space="preserve"> </w:t>
      </w:r>
      <w:r w:rsidR="000654DA">
        <w:rPr>
          <w:rFonts w:eastAsia="MS Gothic"/>
        </w:rPr>
        <w:t xml:space="preserve">devra </w:t>
      </w:r>
      <w:r w:rsidR="00A61B4F">
        <w:rPr>
          <w:rFonts w:eastAsia="MS Gothic"/>
        </w:rPr>
        <w:t>être pris en charge par le Fournisseur.</w:t>
      </w:r>
    </w:p>
    <w:p w:rsidR="00B51A10" w:rsidRDefault="00B51A10" w:rsidP="00407B2A">
      <w:pPr>
        <w:rPr>
          <w:rFonts w:eastAsia="MS Gothic"/>
        </w:rPr>
      </w:pPr>
    </w:p>
    <w:p w:rsidR="00B51A10" w:rsidRDefault="00B51A10" w:rsidP="00407B2A">
      <w:pPr>
        <w:rPr>
          <w:rFonts w:eastAsia="MS Gothic"/>
        </w:rPr>
      </w:pPr>
      <w:r>
        <w:rPr>
          <w:rFonts w:eastAsia="MS Gothic"/>
        </w:rPr>
        <w:t>Le Fournisseur devra conserver pour le compte de l’UNFPA les originaux des connaissements ou des lettres de transport maritimes pendant au moins sept ans.</w:t>
      </w:r>
    </w:p>
    <w:p w:rsidR="002F3C8D" w:rsidRDefault="002F3C8D" w:rsidP="00407B2A">
      <w:pPr>
        <w:rPr>
          <w:rFonts w:eastAsia="MS Gothic"/>
        </w:rPr>
      </w:pPr>
    </w:p>
    <w:p w:rsidR="00A61B4F" w:rsidRDefault="00A61B4F" w:rsidP="00A61B4F">
      <w:pPr>
        <w:pStyle w:val="Heading1"/>
        <w:numPr>
          <w:ilvl w:val="0"/>
          <w:numId w:val="1"/>
        </w:numPr>
      </w:pPr>
      <w:bookmarkStart w:id="39" w:name="_Toc369859083"/>
      <w:r>
        <w:t>PAIEMENT ET FACTURATION</w:t>
      </w:r>
      <w:bookmarkEnd w:id="39"/>
    </w:p>
    <w:p w:rsidR="00A61B4F" w:rsidRDefault="00A61B4F" w:rsidP="00A61B4F"/>
    <w:p w:rsidR="00A61B4F" w:rsidRDefault="00A61B4F" w:rsidP="00A61B4F">
      <w:pPr>
        <w:rPr>
          <w:rFonts w:eastAsia="MS Gothic"/>
          <w:i/>
        </w:rPr>
      </w:pPr>
      <w:r>
        <w:t xml:space="preserve">Afin que l’UNFPA puisse procéder au paiement, la facture </w:t>
      </w:r>
      <w:r w:rsidR="000654DA">
        <w:t xml:space="preserve">devra </w:t>
      </w:r>
      <w:r>
        <w:t>indiquer clairement le numéro du bon de commande, le prix FCA</w:t>
      </w:r>
      <w:r w:rsidR="002F3C8D">
        <w:t xml:space="preserve"> de chaque </w:t>
      </w:r>
      <w:r>
        <w:t>article du bon de commande et les frais de transport réels jusqu’à la destination finale (à moi</w:t>
      </w:r>
      <w:r w:rsidR="00ED355F">
        <w:t>ns que les frais de transport</w:t>
      </w:r>
      <w:r>
        <w:t xml:space="preserve"> soient plus élevés que dans le devis de fret du Fournisseur). </w:t>
      </w:r>
      <w:r w:rsidRPr="00873682">
        <w:rPr>
          <w:i/>
          <w:highlight w:val="yellow"/>
        </w:rPr>
        <w:t>[</w:t>
      </w:r>
      <w:r w:rsidRPr="00873682">
        <w:rPr>
          <w:rFonts w:eastAsia="MS Gothic"/>
          <w:i/>
          <w:highlight w:val="yellow"/>
        </w:rPr>
        <w:t>SUPPRIMER SI NÉCESSAIRE]</w:t>
      </w:r>
    </w:p>
    <w:p w:rsidR="00A61B4F" w:rsidRDefault="00A61B4F" w:rsidP="00A61B4F">
      <w:pPr>
        <w:rPr>
          <w:rFonts w:eastAsia="MS Gothic"/>
        </w:rPr>
      </w:pPr>
    </w:p>
    <w:p w:rsidR="00A61B4F" w:rsidRDefault="00A61B4F" w:rsidP="00A61B4F">
      <w:pPr>
        <w:rPr>
          <w:rFonts w:eastAsia="MS Gothic"/>
        </w:rPr>
      </w:pPr>
      <w:r>
        <w:t xml:space="preserve">Le prix FCA </w:t>
      </w:r>
      <w:r w:rsidR="002F3C8D">
        <w:t xml:space="preserve">de chaque </w:t>
      </w:r>
      <w:r>
        <w:t>article du bon de commande et les frais de transport jusqu’à la destination finale s</w:t>
      </w:r>
      <w:r w:rsidR="000654DA">
        <w:t>er</w:t>
      </w:r>
      <w:r>
        <w:t xml:space="preserve">ont réglés directement auprès du Fournisseur, à moins que </w:t>
      </w:r>
      <w:r w:rsidR="005B3B58">
        <w:t xml:space="preserve">le transport </w:t>
      </w:r>
      <w:r w:rsidR="002F3C8D">
        <w:t>ne lui ait pas été confié</w:t>
      </w:r>
      <w:r w:rsidR="005B3B58">
        <w:t xml:space="preserve">. </w:t>
      </w:r>
      <w:r w:rsidR="005B3B58" w:rsidRPr="00873682">
        <w:rPr>
          <w:i/>
          <w:highlight w:val="yellow"/>
        </w:rPr>
        <w:t>[</w:t>
      </w:r>
      <w:r w:rsidR="005B3B58" w:rsidRPr="00873682">
        <w:rPr>
          <w:rFonts w:eastAsia="MS Gothic"/>
          <w:i/>
          <w:highlight w:val="yellow"/>
        </w:rPr>
        <w:t>SUPPRIMER SI NÉCESSAIRE]</w:t>
      </w:r>
    </w:p>
    <w:p w:rsidR="005B3B58" w:rsidRDefault="005B3B58" w:rsidP="00A61B4F">
      <w:pPr>
        <w:rPr>
          <w:rFonts w:eastAsia="MS Gothic"/>
        </w:rPr>
      </w:pPr>
    </w:p>
    <w:p w:rsidR="005B3B58" w:rsidRDefault="005B3B58" w:rsidP="00A61B4F">
      <w:pPr>
        <w:rPr>
          <w:rFonts w:eastAsia="MS Gothic"/>
        </w:rPr>
      </w:pPr>
      <w:r>
        <w:rPr>
          <w:rFonts w:eastAsia="MS Gothic"/>
        </w:rPr>
        <w:t xml:space="preserve">Le </w:t>
      </w:r>
      <w:r w:rsidR="00B51A10">
        <w:rPr>
          <w:rFonts w:eastAsia="MS Gothic"/>
        </w:rPr>
        <w:t xml:space="preserve">règlement </w:t>
      </w:r>
      <w:r>
        <w:rPr>
          <w:rFonts w:eastAsia="MS Gothic"/>
        </w:rPr>
        <w:t xml:space="preserve">des factures concernées par cet Accord </w:t>
      </w:r>
      <w:r w:rsidR="000654DA">
        <w:rPr>
          <w:rFonts w:eastAsia="MS Gothic"/>
        </w:rPr>
        <w:t xml:space="preserve">sera </w:t>
      </w:r>
      <w:r>
        <w:rPr>
          <w:rFonts w:eastAsia="MS Gothic"/>
        </w:rPr>
        <w:t>effectué par l’UNFPA dans le délai</w:t>
      </w:r>
      <w:r w:rsidR="001E6E85">
        <w:rPr>
          <w:rFonts w:eastAsia="MS Gothic"/>
        </w:rPr>
        <w:t xml:space="preserve"> convenu</w:t>
      </w:r>
      <w:r>
        <w:rPr>
          <w:rFonts w:eastAsia="MS Gothic"/>
        </w:rPr>
        <w:t xml:space="preserve">, attendu que l’UNFPA a reçu la facture finale et tous les documents mentionnés dans la section « Documents d’expédition et de douane ». Ces documents </w:t>
      </w:r>
      <w:r w:rsidR="000654DA">
        <w:rPr>
          <w:rFonts w:eastAsia="MS Gothic"/>
        </w:rPr>
        <w:t xml:space="preserve">devront </w:t>
      </w:r>
      <w:r>
        <w:rPr>
          <w:rFonts w:eastAsia="MS Gothic"/>
        </w:rPr>
        <w:t xml:space="preserve">être envoyés à l’UNFPA au format électronique directement après la livraison des Biens. L’envoi de ces documents </w:t>
      </w:r>
      <w:r w:rsidR="00F8485A">
        <w:rPr>
          <w:rFonts w:eastAsia="MS Gothic"/>
        </w:rPr>
        <w:t xml:space="preserve">après les délais </w:t>
      </w:r>
      <w:r>
        <w:rPr>
          <w:rFonts w:eastAsia="MS Gothic"/>
        </w:rPr>
        <w:t xml:space="preserve">peut entrainer le retard du paiement au Fournisseur. </w:t>
      </w:r>
      <w:r w:rsidRPr="00873682">
        <w:rPr>
          <w:i/>
          <w:highlight w:val="yellow"/>
        </w:rPr>
        <w:t>[</w:t>
      </w:r>
      <w:r w:rsidRPr="00873682">
        <w:rPr>
          <w:rFonts w:eastAsia="MS Gothic"/>
          <w:i/>
          <w:highlight w:val="yellow"/>
        </w:rPr>
        <w:t>SUPPRIMER SI NÉCESSAIRE]</w:t>
      </w:r>
    </w:p>
    <w:p w:rsidR="004C0462" w:rsidRDefault="004C0462" w:rsidP="00A61B4F">
      <w:pPr>
        <w:rPr>
          <w:rFonts w:eastAsia="MS Gothic"/>
        </w:rPr>
      </w:pPr>
    </w:p>
    <w:p w:rsidR="004C0462" w:rsidRDefault="004C0462" w:rsidP="004C0462">
      <w:pPr>
        <w:pStyle w:val="Heading1"/>
        <w:numPr>
          <w:ilvl w:val="0"/>
          <w:numId w:val="1"/>
        </w:numPr>
      </w:pPr>
      <w:bookmarkStart w:id="40" w:name="_Toc369859084"/>
      <w:r>
        <w:t>CO</w:t>
      </w:r>
      <w:r w:rsidR="00D6654C">
        <w:t>ORDONNÉES</w:t>
      </w:r>
      <w:r w:rsidR="00BB10BC">
        <w:t xml:space="preserve"> DES PERSONNES-RESSOURCES</w:t>
      </w:r>
      <w:bookmarkEnd w:id="40"/>
    </w:p>
    <w:p w:rsidR="004C0462" w:rsidRDefault="004C0462" w:rsidP="004C0462"/>
    <w:p w:rsidR="004C0462" w:rsidRDefault="004C0462" w:rsidP="004C0462">
      <w:r>
        <w:t>Toutes les factures et les documents d’expédition requis</w:t>
      </w:r>
      <w:r w:rsidR="000654DA">
        <w:t xml:space="preserve"> devront</w:t>
      </w:r>
      <w:r w:rsidR="001E6E85">
        <w:t xml:space="preserve"> être envoyés aux coordonnées </w:t>
      </w:r>
      <w:r>
        <w:t>listé</w:t>
      </w:r>
      <w:r w:rsidR="001E6E85">
        <w:t>e</w:t>
      </w:r>
      <w:r>
        <w:t>s ci-dessous:</w:t>
      </w:r>
    </w:p>
    <w:p w:rsidR="004C0462" w:rsidRDefault="004C0462" w:rsidP="004C0462"/>
    <w:p w:rsidR="004C0462" w:rsidRDefault="004C0462" w:rsidP="004C0462">
      <w:pPr>
        <w:pStyle w:val="ListParagraph"/>
        <w:numPr>
          <w:ilvl w:val="0"/>
          <w:numId w:val="2"/>
        </w:numPr>
      </w:pPr>
      <w:r>
        <w:t xml:space="preserve">1- </w:t>
      </w:r>
      <w:r>
        <w:rPr>
          <w:b/>
        </w:rPr>
        <w:t>Consignataire </w:t>
      </w:r>
      <w:r>
        <w:t>: l’adresse correspondante sera mentionnée dans chaque bon de commande.</w:t>
      </w:r>
    </w:p>
    <w:p w:rsidR="001E6E85" w:rsidRDefault="001E6E85" w:rsidP="001E6E85">
      <w:pPr>
        <w:pStyle w:val="ListParagraph"/>
      </w:pPr>
    </w:p>
    <w:p w:rsidR="004C0462" w:rsidRPr="004C0462" w:rsidRDefault="004C0462" w:rsidP="004C0462">
      <w:pPr>
        <w:pStyle w:val="ListParagraph"/>
        <w:numPr>
          <w:ilvl w:val="0"/>
          <w:numId w:val="2"/>
        </w:numPr>
      </w:pPr>
      <w:r>
        <w:t xml:space="preserve">2- </w:t>
      </w:r>
      <w:r>
        <w:rPr>
          <w:b/>
        </w:rPr>
        <w:t>Division des services d’approvisionnement (PSB) de l’UNFPA</w:t>
      </w:r>
    </w:p>
    <w:p w:rsidR="004C0462" w:rsidRDefault="004C0462" w:rsidP="004C0462">
      <w:pPr>
        <w:ind w:left="720"/>
      </w:pPr>
    </w:p>
    <w:p w:rsidR="004C0462" w:rsidRPr="00221F7E" w:rsidRDefault="004C0462" w:rsidP="004C0462">
      <w:pPr>
        <w:pStyle w:val="BodyText"/>
        <w:tabs>
          <w:tab w:val="left" w:pos="1620"/>
        </w:tabs>
        <w:ind w:left="709"/>
        <w:rPr>
          <w:rFonts w:ascii="Century Gothic" w:hAnsi="Century Gothic"/>
          <w:sz w:val="20"/>
          <w:lang w:val="fr-FR"/>
        </w:rPr>
      </w:pPr>
      <w:r w:rsidRPr="00221F7E">
        <w:rPr>
          <w:rFonts w:ascii="Century Gothic" w:hAnsi="Century Gothic"/>
          <w:sz w:val="20"/>
          <w:lang w:val="fr-FR"/>
        </w:rPr>
        <w:t>UNFPA</w:t>
      </w:r>
    </w:p>
    <w:p w:rsidR="004C0462" w:rsidRPr="00221F7E" w:rsidRDefault="004C0462" w:rsidP="004C0462">
      <w:pPr>
        <w:pStyle w:val="BodyText"/>
        <w:tabs>
          <w:tab w:val="left" w:pos="1620"/>
        </w:tabs>
        <w:ind w:left="709"/>
        <w:rPr>
          <w:rFonts w:ascii="Century Gothic" w:hAnsi="Century Gothic"/>
          <w:sz w:val="20"/>
          <w:lang w:val="fr-FR"/>
        </w:rPr>
      </w:pPr>
      <w:r w:rsidRPr="00221F7E">
        <w:rPr>
          <w:rFonts w:ascii="Century Gothic" w:hAnsi="Century Gothic"/>
          <w:sz w:val="20"/>
          <w:lang w:val="fr-FR"/>
        </w:rPr>
        <w:t>UN HOUSE</w:t>
      </w:r>
    </w:p>
    <w:p w:rsidR="004C0462" w:rsidRPr="00221F7E" w:rsidRDefault="004C0462" w:rsidP="004C0462">
      <w:pPr>
        <w:pStyle w:val="BodyText"/>
        <w:tabs>
          <w:tab w:val="left" w:pos="1620"/>
        </w:tabs>
        <w:ind w:left="709"/>
        <w:rPr>
          <w:rFonts w:ascii="Century Gothic" w:hAnsi="Century Gothic"/>
          <w:sz w:val="20"/>
          <w:lang w:val="fr-FR"/>
        </w:rPr>
      </w:pPr>
      <w:r w:rsidRPr="00221F7E">
        <w:rPr>
          <w:rFonts w:ascii="Century Gothic" w:hAnsi="Century Gothic"/>
          <w:sz w:val="20"/>
          <w:lang w:val="fr-FR"/>
        </w:rPr>
        <w:t>MARMORVEJ 51</w:t>
      </w:r>
    </w:p>
    <w:p w:rsidR="004C0462" w:rsidRPr="00221F7E" w:rsidRDefault="004C0462" w:rsidP="004C0462">
      <w:pPr>
        <w:pStyle w:val="BodyText"/>
        <w:tabs>
          <w:tab w:val="left" w:pos="1620"/>
        </w:tabs>
        <w:ind w:left="709"/>
        <w:rPr>
          <w:rFonts w:ascii="Century Gothic" w:hAnsi="Century Gothic"/>
          <w:sz w:val="20"/>
          <w:lang w:val="fr-FR"/>
        </w:rPr>
      </w:pPr>
      <w:r w:rsidRPr="00221F7E">
        <w:rPr>
          <w:rFonts w:ascii="Century Gothic" w:hAnsi="Century Gothic"/>
          <w:sz w:val="20"/>
          <w:lang w:val="fr-FR"/>
        </w:rPr>
        <w:lastRenderedPageBreak/>
        <w:t>P.O. BOX 2530, 2100 COPENHAGEN</w:t>
      </w:r>
    </w:p>
    <w:p w:rsidR="004C0462" w:rsidRPr="00221F7E" w:rsidRDefault="004C0462" w:rsidP="004C0462">
      <w:pPr>
        <w:pStyle w:val="BodyText"/>
        <w:tabs>
          <w:tab w:val="left" w:pos="1620"/>
        </w:tabs>
        <w:ind w:left="709"/>
        <w:rPr>
          <w:rFonts w:ascii="Century Gothic" w:hAnsi="Century Gothic"/>
          <w:sz w:val="20"/>
          <w:lang w:val="fr-FR"/>
        </w:rPr>
      </w:pPr>
      <w:r w:rsidRPr="00221F7E">
        <w:rPr>
          <w:rFonts w:ascii="Century Gothic" w:hAnsi="Century Gothic"/>
          <w:sz w:val="20"/>
          <w:lang w:val="fr-FR"/>
        </w:rPr>
        <w:t>DENMARK</w:t>
      </w:r>
    </w:p>
    <w:p w:rsidR="004C0462" w:rsidRPr="004C0462" w:rsidRDefault="004C0462" w:rsidP="004C0462">
      <w:pPr>
        <w:pStyle w:val="BodyText"/>
        <w:tabs>
          <w:tab w:val="left" w:pos="1620"/>
        </w:tabs>
        <w:ind w:left="709"/>
        <w:rPr>
          <w:rFonts w:ascii="Century Gothic" w:hAnsi="Century Gothic"/>
          <w:sz w:val="20"/>
          <w:lang w:val="fr-FR"/>
        </w:rPr>
      </w:pPr>
      <w:r w:rsidRPr="004C0462">
        <w:rPr>
          <w:rFonts w:ascii="Century Gothic" w:hAnsi="Century Gothic"/>
          <w:sz w:val="20"/>
          <w:lang w:val="fr-FR"/>
        </w:rPr>
        <w:t>ATTN: (nom de l’acheteur) PROCUREMENT SERVICES BRANCH</w:t>
      </w:r>
    </w:p>
    <w:p w:rsidR="004C0462" w:rsidRDefault="004C0462" w:rsidP="004C0462"/>
    <w:p w:rsidR="004C0462" w:rsidRDefault="004C0462" w:rsidP="004C0462">
      <w:r>
        <w:t>Veuillez noter que</w:t>
      </w:r>
      <w:r w:rsidR="00D6654C">
        <w:t xml:space="preserve"> les informations suivantes doivent être mentionnées dans tous les courriers et toutes les factures adressés à l’UNFPA :</w:t>
      </w:r>
    </w:p>
    <w:p w:rsidR="00D6654C" w:rsidRDefault="00D6654C" w:rsidP="004C0462"/>
    <w:p w:rsidR="00D6654C" w:rsidRDefault="00D6654C" w:rsidP="00D6654C">
      <w:pPr>
        <w:pStyle w:val="ListParagraph"/>
        <w:numPr>
          <w:ilvl w:val="0"/>
          <w:numId w:val="11"/>
        </w:numPr>
        <w:rPr>
          <w:b/>
        </w:rPr>
      </w:pPr>
      <w:r>
        <w:rPr>
          <w:b/>
        </w:rPr>
        <w:t>Numéro du bon de commande</w:t>
      </w:r>
    </w:p>
    <w:p w:rsidR="00D6654C" w:rsidRDefault="00D6654C" w:rsidP="00D6654C">
      <w:pPr>
        <w:pStyle w:val="ListParagraph"/>
        <w:numPr>
          <w:ilvl w:val="0"/>
          <w:numId w:val="11"/>
        </w:numPr>
        <w:rPr>
          <w:b/>
        </w:rPr>
      </w:pPr>
      <w:r>
        <w:rPr>
          <w:b/>
        </w:rPr>
        <w:t>Nom de l’acheteur</w:t>
      </w:r>
    </w:p>
    <w:p w:rsidR="00D6654C" w:rsidRDefault="00D6654C" w:rsidP="00D6654C">
      <w:pPr>
        <w:rPr>
          <w:b/>
        </w:rPr>
      </w:pPr>
    </w:p>
    <w:p w:rsidR="00D6654C" w:rsidRDefault="00D6654C" w:rsidP="00D6654C">
      <w:pPr>
        <w:pStyle w:val="Heading1"/>
        <w:numPr>
          <w:ilvl w:val="0"/>
          <w:numId w:val="1"/>
        </w:numPr>
      </w:pPr>
      <w:bookmarkStart w:id="41" w:name="_Toc369859085"/>
      <w:r>
        <w:t>COORDONNÉES DU FOURNISSEUR</w:t>
      </w:r>
      <w:bookmarkEnd w:id="41"/>
    </w:p>
    <w:p w:rsidR="00D6654C" w:rsidRDefault="00D6654C" w:rsidP="00D6654C"/>
    <w:p w:rsidR="00D6654C" w:rsidRDefault="00ED355F" w:rsidP="00D6654C">
      <w:r>
        <w:t>Les coordonnées de la personne-ressource</w:t>
      </w:r>
      <w:r w:rsidR="00BB10BC">
        <w:t xml:space="preserve"> </w:t>
      </w:r>
      <w:r w:rsidR="00D6654C">
        <w:t xml:space="preserve">du Fournisseur </w:t>
      </w:r>
      <w:r>
        <w:t>sont les suivantes</w:t>
      </w:r>
      <w:r w:rsidR="00D6654C">
        <w:t> :</w:t>
      </w:r>
    </w:p>
    <w:p w:rsidR="00D6654C" w:rsidRDefault="00D6654C" w:rsidP="00D6654C"/>
    <w:p w:rsidR="00D6654C" w:rsidRPr="00D6654C" w:rsidRDefault="00D6654C" w:rsidP="00D6654C">
      <w:pPr>
        <w:rPr>
          <w:i/>
          <w:highlight w:val="yellow"/>
        </w:rPr>
      </w:pPr>
      <w:r w:rsidRPr="00D6654C">
        <w:rPr>
          <w:i/>
          <w:highlight w:val="yellow"/>
        </w:rPr>
        <w:t>[NOM DE L’ENTREPRISE]</w:t>
      </w:r>
    </w:p>
    <w:p w:rsidR="00D6654C" w:rsidRPr="00D6654C" w:rsidRDefault="00D6654C" w:rsidP="00D6654C">
      <w:pPr>
        <w:rPr>
          <w:i/>
          <w:highlight w:val="yellow"/>
        </w:rPr>
      </w:pPr>
      <w:r w:rsidRPr="00D6654C">
        <w:rPr>
          <w:i/>
          <w:highlight w:val="yellow"/>
        </w:rPr>
        <w:t>[ADRESSE DE L’ENTREPRISE]</w:t>
      </w:r>
    </w:p>
    <w:p w:rsidR="00D6654C" w:rsidRPr="00D6654C" w:rsidRDefault="00D6654C" w:rsidP="00D6654C">
      <w:pPr>
        <w:rPr>
          <w:i/>
          <w:highlight w:val="yellow"/>
        </w:rPr>
      </w:pPr>
      <w:r>
        <w:t xml:space="preserve">Attn : </w:t>
      </w:r>
      <w:r w:rsidRPr="00D6654C">
        <w:rPr>
          <w:i/>
          <w:highlight w:val="yellow"/>
        </w:rPr>
        <w:t>[NOM DE LA PERSONNE</w:t>
      </w:r>
      <w:r w:rsidR="00BB10BC">
        <w:rPr>
          <w:i/>
          <w:highlight w:val="yellow"/>
        </w:rPr>
        <w:t>-RESSOURCE</w:t>
      </w:r>
      <w:r w:rsidRPr="00D6654C">
        <w:rPr>
          <w:i/>
          <w:highlight w:val="yellow"/>
        </w:rPr>
        <w:t>]</w:t>
      </w:r>
    </w:p>
    <w:p w:rsidR="00D6654C" w:rsidRPr="00D6654C" w:rsidRDefault="00D6654C" w:rsidP="00D6654C">
      <w:pPr>
        <w:rPr>
          <w:i/>
          <w:highlight w:val="yellow"/>
        </w:rPr>
      </w:pPr>
      <w:r w:rsidRPr="00D6654C">
        <w:rPr>
          <w:i/>
          <w:highlight w:val="yellow"/>
        </w:rPr>
        <w:t>[INTITULÉ DU POSTE]</w:t>
      </w:r>
    </w:p>
    <w:p w:rsidR="00D6654C" w:rsidRDefault="00D6654C" w:rsidP="00D6654C">
      <w:pPr>
        <w:rPr>
          <w:i/>
        </w:rPr>
      </w:pPr>
      <w:r>
        <w:t xml:space="preserve">Tel. : </w:t>
      </w:r>
      <w:r w:rsidRPr="00D6654C">
        <w:rPr>
          <w:i/>
          <w:highlight w:val="yellow"/>
        </w:rPr>
        <w:t>[No. DE TÉLÉPHONE]</w:t>
      </w:r>
    </w:p>
    <w:p w:rsidR="00D6654C" w:rsidRDefault="00D6654C" w:rsidP="00D6654C">
      <w:pPr>
        <w:rPr>
          <w:i/>
        </w:rPr>
      </w:pPr>
      <w:r>
        <w:t xml:space="preserve">Fax : </w:t>
      </w:r>
      <w:r w:rsidRPr="00D6654C">
        <w:rPr>
          <w:i/>
          <w:highlight w:val="yellow"/>
        </w:rPr>
        <w:t>[No. DE FAX]</w:t>
      </w:r>
    </w:p>
    <w:p w:rsidR="00D6654C" w:rsidRPr="00D6654C" w:rsidRDefault="00D6654C" w:rsidP="00D6654C">
      <w:pPr>
        <w:rPr>
          <w:highlight w:val="yellow"/>
        </w:rPr>
      </w:pPr>
      <w:r>
        <w:t xml:space="preserve">E-mail : </w:t>
      </w:r>
      <w:r w:rsidRPr="00D6654C">
        <w:rPr>
          <w:i/>
          <w:highlight w:val="yellow"/>
        </w:rPr>
        <w:t>[ADRESSE E-MAIL]</w:t>
      </w:r>
    </w:p>
    <w:p w:rsidR="00D6654C" w:rsidRDefault="00D6654C" w:rsidP="00D6654C"/>
    <w:p w:rsidR="00D6654C" w:rsidRDefault="000F21FC" w:rsidP="00D6654C">
      <w:pPr>
        <w:pStyle w:val="Heading1"/>
        <w:numPr>
          <w:ilvl w:val="0"/>
          <w:numId w:val="1"/>
        </w:numPr>
      </w:pPr>
      <w:bookmarkStart w:id="42" w:name="_Toc369859086"/>
      <w:r>
        <w:t>ÉVALUATION DES</w:t>
      </w:r>
      <w:r w:rsidR="00D6654C">
        <w:t xml:space="preserve"> PERFORMANCE</w:t>
      </w:r>
      <w:r>
        <w:t>S</w:t>
      </w:r>
      <w:r w:rsidR="00D6654C">
        <w:t xml:space="preserve"> DU FOURNISSEUR</w:t>
      </w:r>
      <w:bookmarkEnd w:id="42"/>
    </w:p>
    <w:p w:rsidR="00D6654C" w:rsidRDefault="00D6654C" w:rsidP="00D6654C"/>
    <w:p w:rsidR="00D6654C" w:rsidRDefault="008A1190" w:rsidP="00D6654C">
      <w:r>
        <w:t>En vertu de cet Accord, les performances du Fournisseur s</w:t>
      </w:r>
      <w:r w:rsidR="000654DA">
        <w:t>er</w:t>
      </w:r>
      <w:r>
        <w:t>ont</w:t>
      </w:r>
      <w:r w:rsidR="001C50FE">
        <w:t xml:space="preserve"> contrôlées</w:t>
      </w:r>
      <w:r>
        <w:t xml:space="preserve"> et évaluées par l’UNFPA tous les quatre mois afin d’examiner l’efficacité, l’efficience et/ou la constance</w:t>
      </w:r>
      <w:r w:rsidR="00B51A10">
        <w:t xml:space="preserve"> de la qualité</w:t>
      </w:r>
      <w:r>
        <w:t xml:space="preserve"> des services fournis. Les résultats de l’évaluation s</w:t>
      </w:r>
      <w:r w:rsidR="000654DA">
        <w:t>er</w:t>
      </w:r>
      <w:r>
        <w:t>ont communiqués au Fournisseur dans le but d’améliorer ses services. La prorogation de cet Accord pour une période max</w:t>
      </w:r>
      <w:r w:rsidR="000F21FC">
        <w:t>imale d’un (1) an prend</w:t>
      </w:r>
      <w:r>
        <w:t xml:space="preserve"> en compte les résultats des évaluations </w:t>
      </w:r>
      <w:r w:rsidR="000F21FC">
        <w:t>des perfor</w:t>
      </w:r>
      <w:r w:rsidR="004D6B39">
        <w:t>mances. L’évaluation est basée, mais sans s’y retreindre,</w:t>
      </w:r>
      <w:r w:rsidR="000F21FC">
        <w:t xml:space="preserve"> sur les indicateurs-clé</w:t>
      </w:r>
      <w:r w:rsidR="001C50FE">
        <w:t>s</w:t>
      </w:r>
      <w:r w:rsidR="000F21FC">
        <w:t xml:space="preserve"> de la performance suivants :</w:t>
      </w:r>
    </w:p>
    <w:p w:rsidR="000F21FC" w:rsidRDefault="000F21FC" w:rsidP="00D6654C"/>
    <w:p w:rsidR="00B51A10" w:rsidRPr="00B51A10" w:rsidRDefault="00B51A10" w:rsidP="000F21FC">
      <w:pPr>
        <w:pStyle w:val="ListParagraph"/>
        <w:numPr>
          <w:ilvl w:val="0"/>
          <w:numId w:val="12"/>
        </w:numPr>
        <w:rPr>
          <w:highlight w:val="cyan"/>
        </w:rPr>
      </w:pPr>
      <w:r w:rsidRPr="00B51A10">
        <w:rPr>
          <w:rFonts w:cs="Arial"/>
          <w:bCs/>
          <w:szCs w:val="20"/>
          <w:highlight w:val="cyan"/>
        </w:rPr>
        <w:t>Évaluation de la date d’échéance du bon de commande en fonction de l’ATD (voir la section concernant les livraisons pour plus de détails) ;</w:t>
      </w:r>
    </w:p>
    <w:p w:rsidR="00B51A10" w:rsidRPr="00B51A10" w:rsidRDefault="00B51A10" w:rsidP="000F21FC">
      <w:pPr>
        <w:pStyle w:val="ListParagraph"/>
        <w:numPr>
          <w:ilvl w:val="0"/>
          <w:numId w:val="12"/>
        </w:numPr>
        <w:rPr>
          <w:highlight w:val="cyan"/>
        </w:rPr>
      </w:pPr>
      <w:r w:rsidRPr="00B51A10">
        <w:rPr>
          <w:highlight w:val="cyan"/>
        </w:rPr>
        <w:t xml:space="preserve">Évaluation du « Délai de livraison FCA (Semaines) » en fonction du délai de livraison du bon de commande </w:t>
      </w:r>
      <w:r w:rsidRPr="00B51A10">
        <w:rPr>
          <w:rFonts w:cs="Arial"/>
          <w:bCs/>
          <w:szCs w:val="20"/>
          <w:highlight w:val="cyan"/>
        </w:rPr>
        <w:t>(voir la section concernant les livraisons pour plus de détails) ;</w:t>
      </w:r>
    </w:p>
    <w:p w:rsidR="000F21FC" w:rsidRDefault="000F21FC" w:rsidP="000F21FC">
      <w:pPr>
        <w:pStyle w:val="ListParagraph"/>
        <w:numPr>
          <w:ilvl w:val="0"/>
          <w:numId w:val="12"/>
        </w:numPr>
      </w:pPr>
      <w:r>
        <w:t>Réactivité du Fournisseur aux demandes de cotations</w:t>
      </w:r>
      <w:r w:rsidR="00CC302E">
        <w:t xml:space="preserve"> (RFQ) de l’acheteur ;</w:t>
      </w:r>
    </w:p>
    <w:p w:rsidR="00CC302E" w:rsidRDefault="00CC302E" w:rsidP="00B51A10">
      <w:pPr>
        <w:pStyle w:val="ListParagraph"/>
        <w:numPr>
          <w:ilvl w:val="0"/>
          <w:numId w:val="12"/>
        </w:numPr>
      </w:pPr>
      <w:r>
        <w:t>Réactivité du Fournisseur lors de l’émission du bon de commande ;</w:t>
      </w:r>
    </w:p>
    <w:p w:rsidR="00170620" w:rsidRDefault="00170620" w:rsidP="000F21FC">
      <w:pPr>
        <w:pStyle w:val="ListParagraph"/>
        <w:numPr>
          <w:ilvl w:val="0"/>
          <w:numId w:val="12"/>
        </w:numPr>
      </w:pPr>
      <w:r>
        <w:t>Qualité des produits ;</w:t>
      </w:r>
    </w:p>
    <w:p w:rsidR="00170620" w:rsidRDefault="00B51A10" w:rsidP="000F21FC">
      <w:pPr>
        <w:pStyle w:val="ListParagraph"/>
        <w:numPr>
          <w:ilvl w:val="0"/>
          <w:numId w:val="12"/>
        </w:numPr>
      </w:pPr>
      <w:r>
        <w:t xml:space="preserve">Transmission </w:t>
      </w:r>
      <w:r w:rsidR="00170620">
        <w:t>des documents ;</w:t>
      </w:r>
    </w:p>
    <w:p w:rsidR="00170620" w:rsidRDefault="00170620" w:rsidP="000F21FC">
      <w:pPr>
        <w:pStyle w:val="ListParagraph"/>
        <w:numPr>
          <w:ilvl w:val="0"/>
          <w:numId w:val="12"/>
        </w:numPr>
      </w:pPr>
      <w:r>
        <w:t>Facturation ;</w:t>
      </w:r>
    </w:p>
    <w:p w:rsidR="00170620" w:rsidRDefault="002D432F" w:rsidP="000F21FC">
      <w:pPr>
        <w:pStyle w:val="ListParagraph"/>
        <w:numPr>
          <w:ilvl w:val="0"/>
          <w:numId w:val="12"/>
        </w:numPr>
      </w:pPr>
      <w:r>
        <w:t>Résolution des problèmes et réponse aux demandes.</w:t>
      </w:r>
    </w:p>
    <w:p w:rsidR="002D432F" w:rsidRDefault="002D432F" w:rsidP="002D432F"/>
    <w:p w:rsidR="002D432F" w:rsidRDefault="002D432F" w:rsidP="002D432F">
      <w:r>
        <w:t>Les indicateurs-clé de performance</w:t>
      </w:r>
      <w:r w:rsidR="000654DA">
        <w:t xml:space="preserve"> pourront</w:t>
      </w:r>
      <w:r>
        <w:t xml:space="preserve"> être modifiés et/ou complétés durant la période de validité de cet Accord.</w:t>
      </w:r>
    </w:p>
    <w:p w:rsidR="002D432F" w:rsidRDefault="002D432F" w:rsidP="002D432F"/>
    <w:p w:rsidR="002D432F" w:rsidRDefault="0097430B" w:rsidP="002D432F">
      <w:pPr>
        <w:pStyle w:val="Heading1"/>
        <w:numPr>
          <w:ilvl w:val="0"/>
          <w:numId w:val="1"/>
        </w:numPr>
      </w:pPr>
      <w:bookmarkStart w:id="43" w:name="_Toc369859087"/>
      <w:r>
        <w:t>COMPORTEMENTS CONTRAIRES À L’ÉTHIQUE</w:t>
      </w:r>
      <w:bookmarkEnd w:id="43"/>
    </w:p>
    <w:p w:rsidR="0097430B" w:rsidRDefault="0097430B" w:rsidP="0097430B"/>
    <w:p w:rsidR="0097430B" w:rsidRDefault="00DF74C7" w:rsidP="0097430B">
      <w:r>
        <w:t>L’UNFPA applique une politique de zéro tolérance contre les comportements non professionnels ou contraires à l’éthique et contre les actes frauduleux commis par les four</w:t>
      </w:r>
      <w:r w:rsidR="00784703">
        <w:t xml:space="preserve">nisseurs. En conséquence, tout Fournisseur </w:t>
      </w:r>
      <w:r>
        <w:t>ayant entrepris des actions frauduleuses, non professionnelles ou contraires à l’éthiqu</w:t>
      </w:r>
      <w:r w:rsidR="00072E5B">
        <w:t>e</w:t>
      </w:r>
      <w:r>
        <w:t xml:space="preserve"> décrites dans la claus</w:t>
      </w:r>
      <w:r w:rsidR="00784703">
        <w:t>e No. 24, ne sera plus autorisé</w:t>
      </w:r>
      <w:r>
        <w:t xml:space="preserve"> à traiter avec l’UNFPA.</w:t>
      </w:r>
    </w:p>
    <w:p w:rsidR="00DF74C7" w:rsidRDefault="00DF74C7" w:rsidP="0097430B"/>
    <w:p w:rsidR="00DF74C7" w:rsidRDefault="00995EFF" w:rsidP="00DF74C7">
      <w:pPr>
        <w:pStyle w:val="Heading1"/>
        <w:numPr>
          <w:ilvl w:val="0"/>
          <w:numId w:val="1"/>
        </w:numPr>
      </w:pPr>
      <w:bookmarkStart w:id="44" w:name="_Toc369859088"/>
      <w:r>
        <w:t>CORRUPTION ET PRATIQUES FRAUDULEUSES</w:t>
      </w:r>
      <w:bookmarkEnd w:id="44"/>
    </w:p>
    <w:p w:rsidR="00995EFF" w:rsidRDefault="00995EFF" w:rsidP="00995EFF"/>
    <w:p w:rsidR="00995EFF" w:rsidRDefault="00995EFF" w:rsidP="00995EFF">
      <w:r>
        <w:lastRenderedPageBreak/>
        <w:t>L’UNFPA exige de tous les Fournisseurs qu’ils respectent les normes d’éthique les plus élevées durant la passa</w:t>
      </w:r>
      <w:r w:rsidR="00784703">
        <w:t>tion de marché et l’exécution des</w:t>
      </w:r>
      <w:r>
        <w:t xml:space="preserve"> commande</w:t>
      </w:r>
      <w:r w:rsidR="00784703">
        <w:t>s</w:t>
      </w:r>
      <w:r>
        <w:t>. En conséquence, l’UNFPA définit les termes</w:t>
      </w:r>
      <w:r w:rsidR="004D6B39">
        <w:t xml:space="preserve"> suivant</w:t>
      </w:r>
      <w:r w:rsidR="00072E5B">
        <w:t xml:space="preserve"> ainsi </w:t>
      </w:r>
      <w:r>
        <w:t>:</w:t>
      </w:r>
    </w:p>
    <w:p w:rsidR="00995EFF" w:rsidRDefault="00995EFF" w:rsidP="00995EFF"/>
    <w:p w:rsidR="00784703" w:rsidRDefault="00784703" w:rsidP="00784703">
      <w:pPr>
        <w:pStyle w:val="ListParagraph"/>
        <w:numPr>
          <w:ilvl w:val="0"/>
          <w:numId w:val="23"/>
        </w:numPr>
        <w:ind w:left="0" w:firstLine="0"/>
      </w:pPr>
      <w:r>
        <w:t>Corruption : fait de proposer, offrir, recevoir ou solliciter, directement ou indirectement, un quelconque objet de valeur en vue d’influencer indûment les actions d’un fonctionnaire ;</w:t>
      </w:r>
    </w:p>
    <w:p w:rsidR="00784703" w:rsidRDefault="00784703" w:rsidP="00784703"/>
    <w:p w:rsidR="00F327E3" w:rsidRDefault="00784703" w:rsidP="00784703">
      <w:pPr>
        <w:pStyle w:val="ListParagraph"/>
        <w:numPr>
          <w:ilvl w:val="0"/>
          <w:numId w:val="23"/>
        </w:numPr>
        <w:ind w:left="0" w:firstLine="0"/>
      </w:pPr>
      <w:r>
        <w:t>Fraude : tout acte ou omission, y compris fausse déclaration, visant à induire en erreur ou tenter d’induire en erreur un tiers, délibérément ou par négligence, afin d’obtenir un avantage financier ou autre, ou pour se soustraire à une obligation.</w:t>
      </w:r>
    </w:p>
    <w:p w:rsidR="00784703" w:rsidRDefault="00784703" w:rsidP="00784703"/>
    <w:p w:rsidR="007B0DD6" w:rsidRDefault="00F327E3" w:rsidP="007B0DD6">
      <w:r>
        <w:t xml:space="preserve">L’UNFPA déclarera un fournisseur </w:t>
      </w:r>
      <w:r w:rsidR="004D6B39">
        <w:t>inéligible, indéfiniment ou temporairement, pour</w:t>
      </w:r>
      <w:r>
        <w:t xml:space="preserve"> un contrat ou un accord financé par l’UNFPA s’il a </w:t>
      </w:r>
      <w:r w:rsidR="007B0DD6">
        <w:t>été prouvé que le fournisseur a été impliqué dans des pratiques frauduleuses ou de corruption avant ou durant l’exécution d’un contrat ou d’un Accord financé par l’UNFPA.</w:t>
      </w:r>
    </w:p>
    <w:p w:rsidR="007B0DD6" w:rsidRDefault="007B0DD6" w:rsidP="007B0DD6"/>
    <w:p w:rsidR="007B0DD6" w:rsidRDefault="007B0DD6" w:rsidP="007B0DD6">
      <w:pPr>
        <w:pStyle w:val="Heading1"/>
        <w:numPr>
          <w:ilvl w:val="0"/>
          <w:numId w:val="1"/>
        </w:numPr>
      </w:pPr>
      <w:bookmarkStart w:id="45" w:name="_Toc369859089"/>
      <w:r>
        <w:t>TRANPARENCE</w:t>
      </w:r>
      <w:bookmarkEnd w:id="45"/>
    </w:p>
    <w:p w:rsidR="007B0DD6" w:rsidRDefault="007B0DD6" w:rsidP="007B0DD6"/>
    <w:p w:rsidR="007B0DD6" w:rsidRDefault="007B0DD6" w:rsidP="007B0DD6">
      <w:r>
        <w:t xml:space="preserve">Les fournisseurs, ainsi que leurs subsidiaires, représentants, intermédiaires et </w:t>
      </w:r>
      <w:r w:rsidR="002455A4">
        <w:t>mandants</w:t>
      </w:r>
      <w:r w:rsidR="000654DA">
        <w:t xml:space="preserve"> devront</w:t>
      </w:r>
      <w:r w:rsidR="001921DC">
        <w:t xml:space="preserve"> coopérer, lorsque la demande leur en est faite, avec la Division des services de contrôle</w:t>
      </w:r>
      <w:r w:rsidR="001B10B6">
        <w:t xml:space="preserve"> interne</w:t>
      </w:r>
      <w:r w:rsidR="001921DC">
        <w:t>, avec toute entité de contrôle manda</w:t>
      </w:r>
      <w:r w:rsidR="004D6B39">
        <w:t>tée par le Directeur exécutif et</w:t>
      </w:r>
      <w:r w:rsidR="001921DC">
        <w:t xml:space="preserve"> avec le conseiller </w:t>
      </w:r>
      <w:r w:rsidR="001B10B6">
        <w:t>en déontologie</w:t>
      </w:r>
      <w:r w:rsidR="001921DC">
        <w:t xml:space="preserve">. </w:t>
      </w:r>
      <w:r w:rsidR="004D6B39">
        <w:t xml:space="preserve">Cette coopération </w:t>
      </w:r>
      <w:r w:rsidR="000654DA">
        <w:t xml:space="preserve">pourra </w:t>
      </w:r>
      <w:r w:rsidR="004D6B39">
        <w:t xml:space="preserve">prendre </w:t>
      </w:r>
      <w:r w:rsidR="001921DC">
        <w:t>les formes suivantes</w:t>
      </w:r>
      <w:r w:rsidR="004D6B39">
        <w:t>, mais sans s’y restreindre</w:t>
      </w:r>
      <w:r w:rsidR="001921DC">
        <w:t> : accès à tou</w:t>
      </w:r>
      <w:r w:rsidR="00A73FBF">
        <w:t>s</w:t>
      </w:r>
      <w:r w:rsidR="001921DC">
        <w:t xml:space="preserve"> les employés, représentants, </w:t>
      </w:r>
      <w:r w:rsidR="00A73FBF">
        <w:t>agents, cessionnaires du vendeur ; mise à disposition de tous les docu</w:t>
      </w:r>
      <w:r w:rsidR="00012A11">
        <w:t>ments nécessaires, y compris la comptabilité. La non-</w:t>
      </w:r>
      <w:r w:rsidR="00A73FBF">
        <w:t xml:space="preserve">coopération est une raison suffisante pour que l’UNFPA </w:t>
      </w:r>
      <w:r w:rsidR="00012A11">
        <w:t>résilie</w:t>
      </w:r>
      <w:r w:rsidR="00A73FBF">
        <w:t xml:space="preserve"> l’Accord et pour enlever le nom du fournisseur de la liste des fournisseurs enregistrés de l’UNFPA.</w:t>
      </w:r>
    </w:p>
    <w:p w:rsidR="00A73FBF" w:rsidRDefault="00A73FBF" w:rsidP="007B0DD6"/>
    <w:p w:rsidR="00A73FBF" w:rsidRDefault="00A73FBF" w:rsidP="00A73FBF">
      <w:pPr>
        <w:pStyle w:val="Heading1"/>
        <w:numPr>
          <w:ilvl w:val="0"/>
          <w:numId w:val="1"/>
        </w:numPr>
      </w:pPr>
      <w:bookmarkStart w:id="46" w:name="_Toc369859090"/>
      <w:r>
        <w:t>OBJECTIFS ENVIRONNEMENTAUX DE L’UNFPA</w:t>
      </w:r>
      <w:bookmarkEnd w:id="46"/>
    </w:p>
    <w:p w:rsidR="00A73FBF" w:rsidRDefault="00A73FBF" w:rsidP="00A73FBF"/>
    <w:p w:rsidR="00A73FBF" w:rsidRDefault="00B84115" w:rsidP="00A73FBF">
      <w:r>
        <w:t xml:space="preserve">L’UNFPA </w:t>
      </w:r>
      <w:r w:rsidR="00012A11">
        <w:t xml:space="preserve">demande </w:t>
      </w:r>
      <w:r w:rsidR="004D6B39">
        <w:t xml:space="preserve">désormais </w:t>
      </w:r>
      <w:r>
        <w:t>des informations</w:t>
      </w:r>
      <w:r w:rsidR="005D31ED">
        <w:t xml:space="preserve"> et des documents</w:t>
      </w:r>
      <w:r>
        <w:t xml:space="preserve"> sur les politiques environnementales </w:t>
      </w:r>
      <w:r w:rsidR="005D31ED">
        <w:t>dans les offres des soumissionnaires. La volonté de l’UNFPA à long-terme est d’incorporer des critères environnementaux et sociaux dans le processus d’évaluation, ainsi que de demander au</w:t>
      </w:r>
      <w:r w:rsidR="00AC398E">
        <w:t xml:space="preserve">x fournisseurs d’adhérer aux conditions du </w:t>
      </w:r>
      <w:r w:rsidR="00012A11">
        <w:t>P</w:t>
      </w:r>
      <w:r w:rsidR="00AC398E">
        <w:t xml:space="preserve">acte mondial. </w:t>
      </w:r>
      <w:r w:rsidR="004D6B39">
        <w:t xml:space="preserve">Il est donc conseillé aux fournisseurs de </w:t>
      </w:r>
      <w:r w:rsidR="006E6D91">
        <w:t>commencer à faire des recherches pour adhérer à cet accord</w:t>
      </w:r>
      <w:r w:rsidR="00AC398E">
        <w:t>. Pour obtenir plus d’information sur le pacte mondial</w:t>
      </w:r>
      <w:r w:rsidR="00012A11">
        <w:t>, ou savoir comment en faire partie, veuillez contacter la</w:t>
      </w:r>
      <w:r w:rsidR="00AC398E">
        <w:t xml:space="preserve"> PSB : </w:t>
      </w:r>
      <w:hyperlink r:id="rId17" w:history="1">
        <w:r w:rsidR="00AC398E" w:rsidRPr="00AC398E">
          <w:t>procurement@unfpa.org</w:t>
        </w:r>
      </w:hyperlink>
      <w:r w:rsidR="00AC398E" w:rsidRPr="00AC398E">
        <w:t>.</w:t>
      </w:r>
    </w:p>
    <w:p w:rsidR="00AC398E" w:rsidRDefault="00AC398E" w:rsidP="00A73FBF"/>
    <w:p w:rsidR="00AC398E" w:rsidRDefault="00AC398E" w:rsidP="00AC398E">
      <w:pPr>
        <w:pStyle w:val="Heading1"/>
        <w:numPr>
          <w:ilvl w:val="0"/>
          <w:numId w:val="1"/>
        </w:numPr>
      </w:pPr>
      <w:bookmarkStart w:id="47" w:name="_Toc369859091"/>
      <w:r>
        <w:t xml:space="preserve">POLITIQUE DE ZÉRO TOLÉRANCE CONCERNANT LES CADEAUX ET </w:t>
      </w:r>
      <w:r w:rsidR="006E6D91">
        <w:t>L’HOSPITALITÉ</w:t>
      </w:r>
      <w:bookmarkEnd w:id="47"/>
    </w:p>
    <w:p w:rsidR="00AC398E" w:rsidRDefault="00AC398E" w:rsidP="00AC398E"/>
    <w:p w:rsidR="00AC398E" w:rsidRDefault="006E6D91" w:rsidP="00AC398E">
      <w:r>
        <w:t>L’UNFPA applique</w:t>
      </w:r>
      <w:r w:rsidR="00B41BCE">
        <w:t xml:space="preserve"> une politique de zéro tolérance concernant les cadeaux et </w:t>
      </w:r>
      <w:r>
        <w:t>l’hospitalité</w:t>
      </w:r>
      <w:r w:rsidR="00B41BCE">
        <w:t>. En conséquence, le personnel de l’UNFPA ne peut pas accepter de cadeaux,</w:t>
      </w:r>
      <w:r>
        <w:t xml:space="preserve"> </w:t>
      </w:r>
      <w:r w:rsidRPr="006E6D91">
        <w:t>mê</w:t>
      </w:r>
      <w:r>
        <w:t>me de faible valeur,</w:t>
      </w:r>
      <w:r w:rsidR="00B41BCE">
        <w:t xml:space="preserve"> </w:t>
      </w:r>
      <w:r>
        <w:t>y compris</w:t>
      </w:r>
      <w:r w:rsidR="00B41BCE">
        <w:t xml:space="preserve"> les boissons, les repas, la nourriture, le logement, les calendriers, les fournitures, le transport, les invitations à des évènements sportifs</w:t>
      </w:r>
      <w:r w:rsidR="002F7C3F">
        <w:t xml:space="preserve"> ou culturels ou dans un parc à thème, les voyages et tout</w:t>
      </w:r>
      <w:r w:rsidR="00E70BB6">
        <w:t>e</w:t>
      </w:r>
      <w:r w:rsidR="002F7C3F">
        <w:t xml:space="preserve"> autre forme d’avantage. Le Fournisseur doit s’abstenir d’offrir n’importe quell</w:t>
      </w:r>
      <w:r w:rsidR="009C4997">
        <w:t xml:space="preserve">e sorte de cadeau, d’hospitalité </w:t>
      </w:r>
      <w:r w:rsidR="002F7C3F">
        <w:t>ou d’avantage.</w:t>
      </w:r>
    </w:p>
    <w:p w:rsidR="002F7C3F" w:rsidRDefault="002F7C3F" w:rsidP="00AC398E"/>
    <w:p w:rsidR="002F7C3F" w:rsidRDefault="002F7C3F" w:rsidP="002F7C3F">
      <w:pPr>
        <w:pStyle w:val="Heading1"/>
        <w:numPr>
          <w:ilvl w:val="0"/>
          <w:numId w:val="1"/>
        </w:numPr>
      </w:pPr>
      <w:bookmarkStart w:id="48" w:name="_Toc369859092"/>
      <w:r>
        <w:t>ÉLIGIBILITÉ DU VENDEUR</w:t>
      </w:r>
      <w:bookmarkEnd w:id="48"/>
    </w:p>
    <w:p w:rsidR="002F7C3F" w:rsidRDefault="002F7C3F" w:rsidP="002F7C3F"/>
    <w:p w:rsidR="002F7C3F" w:rsidRDefault="002F3007" w:rsidP="002F7C3F">
      <w:r>
        <w:t xml:space="preserve">Durant la période de validité de cet Accord, le Fournisseur doit informer immédiatement l’UNFPA, </w:t>
      </w:r>
      <w:r w:rsidR="0071100F">
        <w:t xml:space="preserve">en envoyant une notification à </w:t>
      </w:r>
      <w:hyperlink r:id="rId18" w:history="1">
        <w:r w:rsidR="0071100F" w:rsidRPr="00F80CC3">
          <w:rPr>
            <w:rStyle w:val="Hyperlink"/>
          </w:rPr>
          <w:t>procurement@unfpa.org</w:t>
        </w:r>
      </w:hyperlink>
      <w:r w:rsidR="0071100F">
        <w:t>, s’il est exclu de la Banque Mondiale ou s’il a été suspendu par une organisation appartenant à l’ONU. Le non-respect de cette obligation est considéré comme une violation de l’Accord, et l’UNFPA se réserve le droit d’invalider tout bon de commande émis durant</w:t>
      </w:r>
      <w:r w:rsidR="00E70BB6">
        <w:t xml:space="preserve"> la</w:t>
      </w:r>
      <w:r w:rsidR="0071100F">
        <w:t xml:space="preserve"> période de suspension ou d’exclusion.</w:t>
      </w:r>
    </w:p>
    <w:p w:rsidR="0071100F" w:rsidRDefault="0071100F" w:rsidP="002F7C3F"/>
    <w:p w:rsidR="0071100F" w:rsidRDefault="0071100F" w:rsidP="00340FE0">
      <w:r>
        <w:lastRenderedPageBreak/>
        <w:t>Le Fournisseur s’engage à faire les efforts nécessaires pour s’assurer que les fonds de l’UNFPA reçus en vertu de cet Accord ne soient pas utilisés pour soutenir des individus ou des entités associés au terrorisme et que les bénéficiaires de toute somme versée par l’UNFPA</w:t>
      </w:r>
      <w:r w:rsidR="00F7005A">
        <w:t xml:space="preserve"> en vertu de cet Accord n’apparaissent pas dans la liste ci-dessous.</w:t>
      </w:r>
    </w:p>
    <w:p w:rsidR="00340FE0" w:rsidRDefault="00340FE0" w:rsidP="00340FE0"/>
    <w:p w:rsidR="00340FE0" w:rsidRDefault="00340FE0" w:rsidP="00340FE0">
      <w:r w:rsidRPr="00340FE0">
        <w:t>Les fournisseurs relevant de l’une des catégories ci-dessous ne peuvent prétendre à l’attribution d’un marché avec l’UNFPA.</w:t>
      </w:r>
    </w:p>
    <w:p w:rsidR="00340FE0" w:rsidRDefault="00340FE0" w:rsidP="00340FE0"/>
    <w:p w:rsidR="00340FE0" w:rsidRPr="00340FE0" w:rsidRDefault="00340FE0" w:rsidP="00340FE0">
      <w:pPr>
        <w:pStyle w:val="ListParagraph"/>
        <w:numPr>
          <w:ilvl w:val="0"/>
          <w:numId w:val="17"/>
        </w:numPr>
      </w:pPr>
      <w:r w:rsidRPr="00340FE0">
        <w:rPr>
          <w:u w:val="single"/>
        </w:rPr>
        <w:t xml:space="preserve">Fournisseurs suspendus ou radiés par la Division des </w:t>
      </w:r>
      <w:r>
        <w:rPr>
          <w:u w:val="single"/>
        </w:rPr>
        <w:t xml:space="preserve">achats </w:t>
      </w:r>
      <w:r w:rsidRPr="00340FE0">
        <w:rPr>
          <w:u w:val="single"/>
        </w:rPr>
        <w:t>des Nations unies :</w:t>
      </w:r>
    </w:p>
    <w:p w:rsidR="00340FE0" w:rsidRDefault="00340FE0" w:rsidP="00340FE0">
      <w:pPr>
        <w:ind w:left="360"/>
      </w:pPr>
      <w:r w:rsidRPr="00340FE0">
        <w:t>L’UNFPA a souscrit à la liste des fournisseurs suspendus ou radiés par la Division des achats des Nations unies. Les fournisseurs qui figurent sur cette liste se voient exclus de la possibilité d’entretenir des relations commerciales avec l’UNFPA</w:t>
      </w:r>
    </w:p>
    <w:p w:rsidR="00340FE0" w:rsidRDefault="00340FE0" w:rsidP="00340FE0">
      <w:pPr>
        <w:rPr>
          <w:u w:val="single"/>
        </w:rPr>
      </w:pPr>
    </w:p>
    <w:p w:rsidR="00340FE0" w:rsidRPr="00340FE0" w:rsidRDefault="00340FE0" w:rsidP="00340FE0">
      <w:pPr>
        <w:pStyle w:val="ListParagraph"/>
        <w:numPr>
          <w:ilvl w:val="0"/>
          <w:numId w:val="17"/>
        </w:numPr>
      </w:pPr>
      <w:r w:rsidRPr="00340FE0">
        <w:rPr>
          <w:u w:val="single"/>
        </w:rPr>
        <w:t>Fournisseurs déclarés inéligibles par d’autres organismes des Nations unies :</w:t>
      </w:r>
    </w:p>
    <w:p w:rsidR="00340FE0" w:rsidRPr="00340FE0" w:rsidRDefault="00340FE0" w:rsidP="00340FE0">
      <w:pPr>
        <w:ind w:left="360"/>
      </w:pPr>
      <w:r w:rsidRPr="00340FE0">
        <w:t xml:space="preserve">L’UNFPA se conforme aux décisions prises par d’autres organisations des Nations unies sur l’inéligibilité des fournisseurs à travailler avec ces organisations, </w:t>
      </w:r>
      <w:r w:rsidRPr="00340FE0">
        <w:rPr>
          <w:u w:val="single"/>
        </w:rPr>
        <w:t>si</w:t>
      </w:r>
      <w:r w:rsidRPr="00340FE0">
        <w:t xml:space="preserve"> ladite inéligibilité a été</w:t>
      </w:r>
      <w:r>
        <w:t xml:space="preserve"> publiée</w:t>
      </w:r>
      <w:r w:rsidRPr="00340FE0">
        <w:t xml:space="preserve"> sur le portail UNGM. Les fournisseurs qui ont été déclarés inéligibles par une autre organisation des Nations unies se voient également exclus de la possibilité d’entretenir des relations commerciales avec l’UNFPA</w:t>
      </w:r>
    </w:p>
    <w:p w:rsidR="00340FE0" w:rsidRDefault="00340FE0" w:rsidP="00340FE0"/>
    <w:p w:rsidR="00340FE0" w:rsidRPr="00340FE0" w:rsidRDefault="00340FE0" w:rsidP="00340FE0">
      <w:pPr>
        <w:pStyle w:val="ListParagraph"/>
        <w:numPr>
          <w:ilvl w:val="0"/>
          <w:numId w:val="17"/>
        </w:numPr>
      </w:pPr>
      <w:r w:rsidRPr="00340FE0">
        <w:rPr>
          <w:u w:val="single"/>
        </w:rPr>
        <w:t>Liste 1267 :</w:t>
      </w:r>
    </w:p>
    <w:p w:rsidR="00340FE0" w:rsidRPr="00340FE0" w:rsidRDefault="00340FE0" w:rsidP="00340FE0">
      <w:pPr>
        <w:ind w:left="360"/>
        <w:rPr>
          <w:u w:val="single"/>
        </w:rPr>
      </w:pPr>
      <w:r w:rsidRPr="00340FE0">
        <w:t>Il est interdit aux personnes ou entités figurant sur la liste des personnes et entités associées à Al-Qaïda ou aux Taliban, tenue en vertu de la résolution 1267 du Conseil de sécurité de l’ONU, d’entretenir des relations commerciales avec l’UNFPA. Aucune exception n’est permise.</w:t>
      </w:r>
    </w:p>
    <w:p w:rsidR="00340FE0" w:rsidRDefault="00340FE0" w:rsidP="00340FE0"/>
    <w:p w:rsidR="00340FE0" w:rsidRPr="00340FE0" w:rsidRDefault="00340FE0" w:rsidP="00340FE0">
      <w:pPr>
        <w:pStyle w:val="ListParagraph"/>
        <w:numPr>
          <w:ilvl w:val="0"/>
          <w:numId w:val="17"/>
        </w:numPr>
      </w:pPr>
      <w:r w:rsidRPr="00340FE0">
        <w:rPr>
          <w:u w:val="single"/>
        </w:rPr>
        <w:t>Liste des fournisseurs déclarés inéligibles par la Banque mondiale :</w:t>
      </w:r>
    </w:p>
    <w:p w:rsidR="00340FE0" w:rsidRPr="00340FE0" w:rsidRDefault="00340FE0" w:rsidP="00340FE0">
      <w:pPr>
        <w:ind w:left="360"/>
      </w:pPr>
      <w:r w:rsidRPr="00340FE0">
        <w:t xml:space="preserve">L’UNFPA peut mener des activités de passation de marchés avec des fonds octroyés par l’Association internationale de développement ou par la Banque internationale pour la reconstruction et le développement. En ce cas, un protocole d’accord doit être signé par l’UNFPA et le pays bénéficiaire. Le </w:t>
      </w:r>
      <w:hyperlink r:id="rId19" w:history="1">
        <w:r w:rsidRPr="00340FE0">
          <w:rPr>
            <w:rStyle w:val="Hyperlink"/>
          </w:rPr>
          <w:t>protocole d’accord</w:t>
        </w:r>
      </w:hyperlink>
      <w:r w:rsidRPr="00340FE0">
        <w:t xml:space="preserve"> type interdit d’émettre un bon de commande au profit d’un fournisseur inscrit sur la </w:t>
      </w:r>
      <w:hyperlink r:id="rId20" w:history="1">
        <w:r w:rsidRPr="00340FE0">
          <w:rPr>
            <w:rStyle w:val="Hyperlink"/>
          </w:rPr>
          <w:t xml:space="preserve">World Bank Listing of Ineligible Firms </w:t>
        </w:r>
      </w:hyperlink>
      <w:r w:rsidRPr="00340FE0">
        <w:t xml:space="preserve">(liste des entreprises déclarées inéligibles par la Banque mondiale) et sur la </w:t>
      </w:r>
      <w:hyperlink r:id="rId21" w:history="1">
        <w:r w:rsidRPr="00340FE0">
          <w:rPr>
            <w:rStyle w:val="Hyperlink"/>
          </w:rPr>
          <w:t>World Bank Corporate Procurement Listing of Non-Responsible Vendors</w:t>
        </w:r>
      </w:hyperlink>
      <w:r w:rsidRPr="00340FE0">
        <w:t xml:space="preserve"> (liste des fournisseurs déclarés non responsables par la Banque mondiale)</w:t>
      </w:r>
      <w:r>
        <w:t>.</w:t>
      </w:r>
    </w:p>
    <w:p w:rsidR="00232D34" w:rsidRDefault="00232D34" w:rsidP="00232D34"/>
    <w:p w:rsidR="00232D34" w:rsidRDefault="00905808" w:rsidP="00905808">
      <w:pPr>
        <w:pStyle w:val="Heading1"/>
        <w:numPr>
          <w:ilvl w:val="0"/>
          <w:numId w:val="1"/>
        </w:numPr>
      </w:pPr>
      <w:bookmarkStart w:id="49" w:name="_Toc369859093"/>
      <w:r>
        <w:t>CONTESTATION DE L</w:t>
      </w:r>
      <w:r w:rsidR="00340FE0">
        <w:t>’APPEL D’OFFRES</w:t>
      </w:r>
      <w:bookmarkEnd w:id="49"/>
    </w:p>
    <w:p w:rsidR="00905808" w:rsidRDefault="00905808" w:rsidP="00905808"/>
    <w:p w:rsidR="00905808" w:rsidRDefault="00FA44A6" w:rsidP="00FA44A6">
      <w:r>
        <w:t>Si un fournisseur pense avoir été traité injustement lors de la sollicitation ou de l’adjudication, il peut envoyer une réclamation directement au responsable de la Division des services d’approvisionnement (</w:t>
      </w:r>
      <w:hyperlink r:id="rId22" w:history="1">
        <w:r w:rsidRPr="00F80CC3">
          <w:rPr>
            <w:rStyle w:val="Hyperlink"/>
          </w:rPr>
          <w:t>procurement@unfpa.org</w:t>
        </w:r>
      </w:hyperlink>
      <w:r>
        <w:t>) qui examinera ensuite la réclamation et enverra une réponse au fournisseur dans un délai d’une semaine, et, s’il y a lieu, l’informera des moyens de recours.</w:t>
      </w:r>
    </w:p>
    <w:p w:rsidR="00FA44A6" w:rsidRDefault="00FA44A6" w:rsidP="00905808">
      <w:pPr>
        <w:ind w:left="360"/>
      </w:pPr>
    </w:p>
    <w:p w:rsidR="00FA44A6" w:rsidRDefault="00FA44A6" w:rsidP="00FA44A6">
      <w:pPr>
        <w:pStyle w:val="Heading1"/>
        <w:numPr>
          <w:ilvl w:val="0"/>
          <w:numId w:val="1"/>
        </w:numPr>
      </w:pPr>
      <w:bookmarkStart w:id="50" w:name="_Toc369859094"/>
      <w:r>
        <w:t>ÉCHANGE DE L’ACCORD ENTRE AGENCES DE L’ONU</w:t>
      </w:r>
      <w:bookmarkEnd w:id="50"/>
    </w:p>
    <w:p w:rsidR="00FA44A6" w:rsidRDefault="00FA44A6" w:rsidP="00FA44A6"/>
    <w:p w:rsidR="00FA44A6" w:rsidRDefault="00FA44A6" w:rsidP="00FA44A6">
      <w:r>
        <w:t xml:space="preserve">En signant cet Accord, le Fournisseur </w:t>
      </w:r>
      <w:r w:rsidR="0086505C">
        <w:t>atteste que l’UNFPA est libre de partager cet Accord avec d’a</w:t>
      </w:r>
      <w:r w:rsidR="00E70BB6">
        <w:t xml:space="preserve">utres agences de l’ONU pour </w:t>
      </w:r>
      <w:r w:rsidR="0086505C">
        <w:t>les commandes directes.</w:t>
      </w:r>
    </w:p>
    <w:p w:rsidR="00051794" w:rsidRDefault="00051794" w:rsidP="00FA44A6"/>
    <w:p w:rsidR="00051794" w:rsidRDefault="00051794" w:rsidP="00051794">
      <w:pPr>
        <w:pStyle w:val="Heading1"/>
        <w:numPr>
          <w:ilvl w:val="0"/>
          <w:numId w:val="1"/>
        </w:numPr>
      </w:pPr>
      <w:bookmarkStart w:id="51" w:name="_Toc369859095"/>
      <w:r>
        <w:t>PUBLICATION DE</w:t>
      </w:r>
      <w:r w:rsidR="00E70BB6">
        <w:t>S</w:t>
      </w:r>
      <w:r>
        <w:t xml:space="preserve"> INFORMATION</w:t>
      </w:r>
      <w:r w:rsidR="00E70BB6">
        <w:t>S</w:t>
      </w:r>
      <w:r>
        <w:t xml:space="preserve"> D’ATTRIBUTION DU BON DE COMMANDE</w:t>
      </w:r>
      <w:bookmarkEnd w:id="51"/>
    </w:p>
    <w:p w:rsidR="00051794" w:rsidRDefault="00051794" w:rsidP="00051794"/>
    <w:p w:rsidR="00051794" w:rsidRPr="00051794" w:rsidRDefault="00051794" w:rsidP="00051794">
      <w:r>
        <w:t>Pour chaque bon de commande, L’UNFPA publie</w:t>
      </w:r>
      <w:r w:rsidR="000654DA">
        <w:t>ra</w:t>
      </w:r>
      <w:r>
        <w:t xml:space="preserve"> les informations suivantes sur UNGM (</w:t>
      </w:r>
      <w:r w:rsidRPr="00051794">
        <w:t>http://www.ungm.org</w:t>
      </w:r>
      <w:r>
        <w:t>) : le numéro de référence du bon de commande, la description des Biens ou des Services concernés, le pays de destination, le nom et le pays du fournisseur, la valeur du contrat et la date de publication du bon de commande.</w:t>
      </w:r>
    </w:p>
    <w:p w:rsidR="0086505C" w:rsidRDefault="0086505C" w:rsidP="00FA44A6"/>
    <w:p w:rsidR="0086505C" w:rsidRDefault="0086505C" w:rsidP="0086505C">
      <w:pPr>
        <w:pStyle w:val="Heading1"/>
        <w:numPr>
          <w:ilvl w:val="0"/>
          <w:numId w:val="1"/>
        </w:numPr>
      </w:pPr>
      <w:bookmarkStart w:id="52" w:name="_Toc369859096"/>
      <w:r>
        <w:lastRenderedPageBreak/>
        <w:t>ASSURANCE</w:t>
      </w:r>
      <w:bookmarkEnd w:id="52"/>
    </w:p>
    <w:p w:rsidR="0086505C" w:rsidRDefault="0086505C" w:rsidP="0086505C"/>
    <w:p w:rsidR="0086505C" w:rsidRDefault="0086505C" w:rsidP="0086505C">
      <w:r>
        <w:t>L’UNFPA se charge d’assurer les Biens durant le transport entre l’entrepôt du Fournisseur et la destination finale.</w:t>
      </w:r>
    </w:p>
    <w:p w:rsidR="0086505C" w:rsidRDefault="0086505C" w:rsidP="0086505C"/>
    <w:p w:rsidR="0086505C" w:rsidRDefault="0086505C" w:rsidP="0086505C">
      <w:r>
        <w:t xml:space="preserve">Les Biens stockés par l’UNFPA sont couverts par l’assurance de l’UNFPA. Si l’assurance du Fournisseur est aussi nécessaire, l’UNFPA lui demandera d’assurer les Biens et réglera les frais d’assurance supplémentaires dès que les Biens seront en possession de l’UNFPA. Le Fournisseur sera prévenu deux (2) mois à l’avance si </w:t>
      </w:r>
      <w:r w:rsidR="00587F05">
        <w:t>l’UNFPA souhaite proroger l’assurance des biens figurant dans le stock.</w:t>
      </w:r>
    </w:p>
    <w:p w:rsidR="0086505C" w:rsidRDefault="0086505C" w:rsidP="0086505C"/>
    <w:p w:rsidR="0086505C" w:rsidRDefault="00051794" w:rsidP="00051794">
      <w:pPr>
        <w:pStyle w:val="Heading1"/>
        <w:numPr>
          <w:ilvl w:val="0"/>
          <w:numId w:val="1"/>
        </w:numPr>
      </w:pPr>
      <w:bookmarkStart w:id="53" w:name="_Toc369859097"/>
      <w:r>
        <w:t>COUVERTURE DE L’APPROVISIONNEMENT</w:t>
      </w:r>
      <w:bookmarkEnd w:id="53"/>
    </w:p>
    <w:p w:rsidR="00051794" w:rsidRDefault="00051794" w:rsidP="00051794"/>
    <w:p w:rsidR="00051794" w:rsidRDefault="00051794" w:rsidP="00051794">
      <w:pPr>
        <w:rPr>
          <w:rStyle w:val="Hyperlink"/>
        </w:rPr>
      </w:pPr>
      <w:r>
        <w:t>En signant cet Accord, le Fournisseu</w:t>
      </w:r>
      <w:r w:rsidR="00784703">
        <w:t>r accepte de fournir les Biens/s</w:t>
      </w:r>
      <w:r>
        <w:t xml:space="preserve">ervices à tous les pays en voie de développement, les pays les moins développés et les pays en transition figurant sur la liste à cette adresse : </w:t>
      </w:r>
      <w:hyperlink r:id="rId23" w:anchor="developed" w:history="1">
        <w:r w:rsidRPr="00F919EA">
          <w:rPr>
            <w:rStyle w:val="Hyperlink"/>
          </w:rPr>
          <w:t>http://unstats.un.org/unsd/methods/m49/m49regin.htm#developed</w:t>
        </w:r>
      </w:hyperlink>
    </w:p>
    <w:p w:rsidR="00051794" w:rsidRDefault="00051794" w:rsidP="00051794">
      <w:pPr>
        <w:rPr>
          <w:rStyle w:val="Hyperlink"/>
        </w:rPr>
      </w:pPr>
    </w:p>
    <w:p w:rsidR="00051794" w:rsidRDefault="00051794" w:rsidP="00051794">
      <w:pPr>
        <w:pStyle w:val="Heading1"/>
        <w:numPr>
          <w:ilvl w:val="0"/>
          <w:numId w:val="1"/>
        </w:numPr>
      </w:pPr>
      <w:bookmarkStart w:id="54" w:name="_Toc369859098"/>
      <w:r>
        <w:t xml:space="preserve">EMBARGO ET </w:t>
      </w:r>
      <w:r w:rsidR="00C315B1">
        <w:t>TRANSACTIONS</w:t>
      </w:r>
      <w:r>
        <w:t xml:space="preserve"> ÉCONOMIQUES ET COMMERCIALES</w:t>
      </w:r>
      <w:r w:rsidR="00C315B1">
        <w:t xml:space="preserve"> INTERDITES</w:t>
      </w:r>
      <w:bookmarkEnd w:id="54"/>
    </w:p>
    <w:p w:rsidR="00051794" w:rsidRDefault="00051794" w:rsidP="00051794"/>
    <w:p w:rsidR="00EB2B4D" w:rsidRDefault="00051794" w:rsidP="00051794">
      <w:r>
        <w:t xml:space="preserve">L’UNFPA </w:t>
      </w:r>
      <w:r w:rsidR="00EB2B4D">
        <w:t xml:space="preserve">met en place des programmes dans des pays en voie de développement et en transition, y compris dans des pays sanctionnés ou sujets à un embargo de la part du </w:t>
      </w:r>
      <w:r w:rsidR="00EB2B4D" w:rsidRPr="00EB2B4D">
        <w:t>Bureau du contrôle des avoirs étrangers</w:t>
      </w:r>
      <w:r w:rsidR="00EB2B4D">
        <w:t xml:space="preserve"> des </w:t>
      </w:r>
      <w:r w:rsidR="00C315B1">
        <w:t>États-Unis d’Amérique</w:t>
      </w:r>
      <w:r w:rsidR="00EB2B4D">
        <w:t xml:space="preserve"> (OFAC). Le Fournisseur </w:t>
      </w:r>
      <w:r w:rsidR="000654DA">
        <w:t xml:space="preserve">devra </w:t>
      </w:r>
      <w:r w:rsidR="00EB2B4D">
        <w:t xml:space="preserve">informer l’UNFPA au moment de la soumission, ainsi que durant la période de validité du LTA, des contrôles à l’exportation et des restrictions liées aux embargos de l’OFAC  et/ou des </w:t>
      </w:r>
      <w:r w:rsidR="00A57ACE">
        <w:t>interdictions</w:t>
      </w:r>
      <w:r w:rsidR="00EB2B4D">
        <w:t xml:space="preserve"> économiques et commerciales auxquels il est soumis. Le Fournisseur </w:t>
      </w:r>
      <w:r w:rsidR="000654DA">
        <w:t xml:space="preserve">devra </w:t>
      </w:r>
      <w:r w:rsidR="00EB2B4D">
        <w:t>aider la Division des services d’approvisionnement de l’UNFP</w:t>
      </w:r>
      <w:r w:rsidR="00784703">
        <w:t>A à livrer les Biens et/ou les s</w:t>
      </w:r>
      <w:r w:rsidR="00EB2B4D">
        <w:t>ervices dans les pays sujets à un embargo de l’OFAC via une tierce partie.</w:t>
      </w:r>
    </w:p>
    <w:p w:rsidR="000133FA" w:rsidRDefault="000133FA" w:rsidP="00051794"/>
    <w:p w:rsidR="000133FA" w:rsidRDefault="000133FA" w:rsidP="000133FA">
      <w:pPr>
        <w:pStyle w:val="Heading1"/>
      </w:pPr>
      <w:bookmarkStart w:id="55" w:name="_Toc369859099"/>
      <w:r>
        <w:t>51. INDEMNITÉS PRÉDETERMINÉES</w:t>
      </w:r>
      <w:bookmarkEnd w:id="55"/>
    </w:p>
    <w:p w:rsidR="000133FA" w:rsidRDefault="000133FA" w:rsidP="000133FA"/>
    <w:p w:rsidR="000133FA" w:rsidRPr="00784703" w:rsidRDefault="00784703" w:rsidP="000133FA">
      <w:pPr>
        <w:rPr>
          <w:highlight w:val="cyan"/>
        </w:rPr>
      </w:pPr>
      <w:r w:rsidRPr="00784703">
        <w:rPr>
          <w:highlight w:val="cyan"/>
        </w:rPr>
        <w:t>Si le v</w:t>
      </w:r>
      <w:r w:rsidR="000133FA" w:rsidRPr="00784703">
        <w:rPr>
          <w:highlight w:val="cyan"/>
        </w:rPr>
        <w:t>endeur ne respecte pas les conditions du bon de commande ou de l'Accord à long-terme, ce qui peut inclure, sans y être limité, la non-obtention des licences d'exportation ou le non-respect des délais, l'UNFPA, sans préjudice des autres droits ou recours,</w:t>
      </w:r>
      <w:r w:rsidR="000654DA">
        <w:rPr>
          <w:highlight w:val="cyan"/>
        </w:rPr>
        <w:t xml:space="preserve"> pourra</w:t>
      </w:r>
      <w:r w:rsidR="000133FA" w:rsidRPr="00784703">
        <w:rPr>
          <w:highlight w:val="cyan"/>
        </w:rPr>
        <w:t xml:space="preserve"> prendre les mesures suivantes:</w:t>
      </w:r>
    </w:p>
    <w:p w:rsidR="000133FA" w:rsidRPr="00784703" w:rsidRDefault="000133FA" w:rsidP="000133FA">
      <w:pPr>
        <w:rPr>
          <w:highlight w:val="cyan"/>
        </w:rPr>
      </w:pPr>
    </w:p>
    <w:p w:rsidR="000133FA" w:rsidRPr="00784703" w:rsidRDefault="000133FA" w:rsidP="00784703">
      <w:pPr>
        <w:pStyle w:val="ListParagraph"/>
        <w:numPr>
          <w:ilvl w:val="1"/>
          <w:numId w:val="24"/>
        </w:numPr>
        <w:rPr>
          <w:highlight w:val="cyan"/>
        </w:rPr>
      </w:pPr>
      <w:r w:rsidRPr="00784703">
        <w:rPr>
          <w:highlight w:val="cyan"/>
        </w:rPr>
        <w:t xml:space="preserve">Acquérir auprès d'une autre source tout ou partie des biens. Le cas </w:t>
      </w:r>
      <w:r w:rsidR="00784703" w:rsidRPr="00784703">
        <w:rPr>
          <w:highlight w:val="cyan"/>
        </w:rPr>
        <w:t>échéant, l'UNFPA peut tenir le v</w:t>
      </w:r>
      <w:r w:rsidRPr="00784703">
        <w:rPr>
          <w:highlight w:val="cyan"/>
        </w:rPr>
        <w:t>endeur responsable de tout frais supplémentaire occasionné. L'UNFPA</w:t>
      </w:r>
      <w:r w:rsidR="000654DA">
        <w:rPr>
          <w:highlight w:val="cyan"/>
        </w:rPr>
        <w:t xml:space="preserve"> devra</w:t>
      </w:r>
      <w:r w:rsidRPr="00784703">
        <w:rPr>
          <w:highlight w:val="cyan"/>
        </w:rPr>
        <w:t xml:space="preserve"> dans ce cas minimiser le montant de ses dommages de bonne foi;</w:t>
      </w:r>
    </w:p>
    <w:p w:rsidR="000133FA" w:rsidRPr="00784703" w:rsidRDefault="000133FA" w:rsidP="000133FA">
      <w:pPr>
        <w:rPr>
          <w:highlight w:val="cyan"/>
        </w:rPr>
      </w:pPr>
    </w:p>
    <w:p w:rsidR="000133FA" w:rsidRPr="00784703" w:rsidRDefault="000133FA" w:rsidP="00784703">
      <w:pPr>
        <w:pStyle w:val="ListParagraph"/>
        <w:numPr>
          <w:ilvl w:val="1"/>
          <w:numId w:val="24"/>
        </w:numPr>
        <w:rPr>
          <w:highlight w:val="cyan"/>
        </w:rPr>
      </w:pPr>
      <w:r w:rsidRPr="00784703">
        <w:rPr>
          <w:highlight w:val="cyan"/>
        </w:rPr>
        <w:t>Refuser la livraison de tout ou partie des services;</w:t>
      </w:r>
    </w:p>
    <w:p w:rsidR="000133FA" w:rsidRPr="00784703" w:rsidRDefault="000133FA" w:rsidP="000133FA">
      <w:pPr>
        <w:rPr>
          <w:highlight w:val="cyan"/>
        </w:rPr>
      </w:pPr>
    </w:p>
    <w:p w:rsidR="000133FA" w:rsidRPr="00784703" w:rsidRDefault="000133FA" w:rsidP="00784703">
      <w:pPr>
        <w:pStyle w:val="ListParagraph"/>
        <w:numPr>
          <w:ilvl w:val="1"/>
          <w:numId w:val="24"/>
        </w:numPr>
        <w:rPr>
          <w:highlight w:val="cyan"/>
        </w:rPr>
      </w:pPr>
      <w:r w:rsidRPr="00784703">
        <w:rPr>
          <w:highlight w:val="cyan"/>
        </w:rPr>
        <w:t>Résilier le bon de commande ou l'Accord à long-terme;</w:t>
      </w:r>
    </w:p>
    <w:p w:rsidR="000133FA" w:rsidRPr="00784703" w:rsidRDefault="000133FA" w:rsidP="000133FA">
      <w:pPr>
        <w:rPr>
          <w:highlight w:val="cyan"/>
        </w:rPr>
      </w:pPr>
    </w:p>
    <w:p w:rsidR="000133FA" w:rsidRPr="000133FA" w:rsidRDefault="000133FA" w:rsidP="00784703">
      <w:pPr>
        <w:pStyle w:val="ListParagraph"/>
        <w:numPr>
          <w:ilvl w:val="1"/>
          <w:numId w:val="24"/>
        </w:numPr>
      </w:pPr>
      <w:r w:rsidRPr="00784703">
        <w:rPr>
          <w:highlight w:val="cyan"/>
        </w:rPr>
        <w:t>En cas de retard de livraison, l'UNFPA peut demander des indemnités prédéterminées au Vendeur et déduire 0,5% de la valeur de la commande par jour de retard, jusqu'à un maximum de 10% de la valeur de la commande. Le paiement de ces indemnités ne libère pas le vendeur des autres obligations et responsabilités en vertu du contrat ou Accord à long terme.</w:t>
      </w:r>
    </w:p>
    <w:p w:rsidR="00EB2B4D" w:rsidRDefault="00EB2B4D">
      <w:pPr>
        <w:spacing w:after="200" w:line="276" w:lineRule="auto"/>
        <w:jc w:val="left"/>
      </w:pPr>
      <w:r>
        <w:br w:type="page"/>
      </w:r>
    </w:p>
    <w:p w:rsidR="00051794" w:rsidRDefault="00EB2B4D" w:rsidP="00EB2B4D">
      <w:pPr>
        <w:pStyle w:val="Heading1"/>
        <w:jc w:val="center"/>
        <w:rPr>
          <w:rFonts w:eastAsia="Times New Roman"/>
          <w:sz w:val="24"/>
          <w:szCs w:val="24"/>
          <w:lang w:eastAsia="en-GB"/>
        </w:rPr>
      </w:pPr>
      <w:bookmarkStart w:id="56" w:name="_Toc369859100"/>
      <w:r w:rsidRPr="00EB2B4D">
        <w:rPr>
          <w:rFonts w:eastAsia="Times New Roman"/>
          <w:sz w:val="24"/>
          <w:szCs w:val="24"/>
          <w:lang w:eastAsia="en-GB"/>
        </w:rPr>
        <w:lastRenderedPageBreak/>
        <w:t>ANNEXE 1 : CONDITIONS GÉNÉRALES DE L’UNFPA APPLICABLES AUX CONTRATS RELATIFS À LA FOURNITURE DE BIENS ET DE SERVICES</w:t>
      </w:r>
      <w:bookmarkEnd w:id="56"/>
    </w:p>
    <w:p w:rsidR="00EB2B4D" w:rsidRDefault="00EB2B4D" w:rsidP="00EB2B4D">
      <w:pPr>
        <w:rPr>
          <w:lang w:eastAsia="en-GB"/>
        </w:rPr>
      </w:pPr>
    </w:p>
    <w:p w:rsidR="00EB2B4D" w:rsidRPr="00EB2B4D" w:rsidRDefault="00EB2B4D" w:rsidP="00EB2B4D">
      <w:pPr>
        <w:pStyle w:val="Heading1"/>
        <w:jc w:val="center"/>
        <w:rPr>
          <w:sz w:val="24"/>
          <w:szCs w:val="24"/>
          <w:lang w:eastAsia="en-GB"/>
        </w:rPr>
      </w:pPr>
      <w:bookmarkStart w:id="57" w:name="_Toc369859101"/>
      <w:r w:rsidRPr="00EB2B4D">
        <w:rPr>
          <w:sz w:val="24"/>
          <w:szCs w:val="24"/>
          <w:lang w:eastAsia="en-GB"/>
        </w:rPr>
        <w:t>ANNEXE 2 : TERMES DE RÉFÉRENCE (TOR)</w:t>
      </w:r>
      <w:bookmarkEnd w:id="57"/>
    </w:p>
    <w:sectPr w:rsidR="00EB2B4D" w:rsidRPr="00EB2B4D" w:rsidSect="004407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27" w:rsidRDefault="00893527" w:rsidP="00815EA6">
      <w:r>
        <w:separator/>
      </w:r>
    </w:p>
  </w:endnote>
  <w:endnote w:type="continuationSeparator" w:id="0">
    <w:p w:rsidR="00893527" w:rsidRDefault="00893527" w:rsidP="0081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317586"/>
      <w:docPartObj>
        <w:docPartGallery w:val="Page Numbers (Bottom of Page)"/>
        <w:docPartUnique/>
      </w:docPartObj>
    </w:sdtPr>
    <w:sdtEndPr>
      <w:rPr>
        <w:noProof/>
      </w:rPr>
    </w:sdtEndPr>
    <w:sdtContent>
      <w:p w:rsidR="00893527" w:rsidRDefault="00893527">
        <w:pPr>
          <w:pStyle w:val="Footer"/>
          <w:jc w:val="right"/>
        </w:pPr>
        <w:r>
          <w:fldChar w:fldCharType="begin"/>
        </w:r>
        <w:r>
          <w:instrText xml:space="preserve"> PAGE   \* MERGEFORMAT </w:instrText>
        </w:r>
        <w:r>
          <w:fldChar w:fldCharType="separate"/>
        </w:r>
        <w:r w:rsidR="004003AB">
          <w:rPr>
            <w:noProof/>
          </w:rPr>
          <w:t>1</w:t>
        </w:r>
        <w:r>
          <w:rPr>
            <w:noProof/>
          </w:rPr>
          <w:fldChar w:fldCharType="end"/>
        </w:r>
        <w:r>
          <w:rPr>
            <w:noProof/>
          </w:rPr>
          <w:t xml:space="preserve"> of 25</w:t>
        </w:r>
      </w:p>
    </w:sdtContent>
  </w:sdt>
  <w:p w:rsidR="00893527" w:rsidRDefault="00893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27" w:rsidRDefault="00893527" w:rsidP="00815EA6">
      <w:r>
        <w:separator/>
      </w:r>
    </w:p>
  </w:footnote>
  <w:footnote w:type="continuationSeparator" w:id="0">
    <w:p w:rsidR="00893527" w:rsidRDefault="00893527" w:rsidP="00815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360DC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D5DE9"/>
    <w:multiLevelType w:val="hybridMultilevel"/>
    <w:tmpl w:val="CB28420C"/>
    <w:lvl w:ilvl="0" w:tplc="8A1E1ADC">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DA49C6"/>
    <w:multiLevelType w:val="hybridMultilevel"/>
    <w:tmpl w:val="412C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496B4E"/>
    <w:multiLevelType w:val="hybridMultilevel"/>
    <w:tmpl w:val="09BE0374"/>
    <w:lvl w:ilvl="0" w:tplc="178802B2">
      <w:start w:val="1"/>
      <w:numFmt w:val="decimal"/>
      <w:lvlText w:val="(%1)"/>
      <w:lvlJc w:val="left"/>
      <w:pPr>
        <w:ind w:left="720" w:hanging="360"/>
      </w:pPr>
      <w:rPr>
        <w:rFonts w:hint="default"/>
        <w:u w:val="single"/>
      </w:rPr>
    </w:lvl>
    <w:lvl w:ilvl="1" w:tplc="E5AA361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B7047C"/>
    <w:multiLevelType w:val="hybridMultilevel"/>
    <w:tmpl w:val="62CCBC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31730F"/>
    <w:multiLevelType w:val="hybridMultilevel"/>
    <w:tmpl w:val="9B02069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05758E8"/>
    <w:multiLevelType w:val="hybridMultilevel"/>
    <w:tmpl w:val="1734AE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5D7449"/>
    <w:multiLevelType w:val="hybridMultilevel"/>
    <w:tmpl w:val="E45C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D654E5"/>
    <w:multiLevelType w:val="hybridMultilevel"/>
    <w:tmpl w:val="D392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F268D7"/>
    <w:multiLevelType w:val="hybridMultilevel"/>
    <w:tmpl w:val="04DA87AA"/>
    <w:lvl w:ilvl="0" w:tplc="57BE8BB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5134CB6"/>
    <w:multiLevelType w:val="hybridMultilevel"/>
    <w:tmpl w:val="6186EA96"/>
    <w:lvl w:ilvl="0" w:tplc="442EFDB0">
      <w:start w:val="1"/>
      <w:numFmt w:val="decimal"/>
      <w:lvlText w:val="%1)"/>
      <w:lvlJc w:val="left"/>
      <w:pPr>
        <w:ind w:left="18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D9E2091"/>
    <w:multiLevelType w:val="hybridMultilevel"/>
    <w:tmpl w:val="A9F25C7C"/>
    <w:lvl w:ilvl="0" w:tplc="956863A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E4A4B5B"/>
    <w:multiLevelType w:val="hybridMultilevel"/>
    <w:tmpl w:val="F06E70AE"/>
    <w:lvl w:ilvl="0" w:tplc="5F2223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6F6EB7"/>
    <w:multiLevelType w:val="hybridMultilevel"/>
    <w:tmpl w:val="6B3EA902"/>
    <w:lvl w:ilvl="0" w:tplc="0809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4495744"/>
    <w:multiLevelType w:val="hybridMultilevel"/>
    <w:tmpl w:val="330CC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330443"/>
    <w:multiLevelType w:val="hybridMultilevel"/>
    <w:tmpl w:val="7B443C36"/>
    <w:lvl w:ilvl="0" w:tplc="3BD6D1DE">
      <w:start w:val="1"/>
      <w:numFmt w:val="decimal"/>
      <w:lvlText w:val="(%1)"/>
      <w:lvlJc w:val="left"/>
      <w:pPr>
        <w:ind w:left="644" w:hanging="360"/>
      </w:pPr>
      <w:rPr>
        <w:rFonts w:cs="Times New Roman"/>
        <w:strike w:val="0"/>
        <w:dstrike w:val="0"/>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2B07ACD"/>
    <w:multiLevelType w:val="hybridMultilevel"/>
    <w:tmpl w:val="E12E2F98"/>
    <w:lvl w:ilvl="0" w:tplc="0809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CD2C29"/>
    <w:multiLevelType w:val="hybridMultilevel"/>
    <w:tmpl w:val="1FC2B658"/>
    <w:lvl w:ilvl="0" w:tplc="48321B42">
      <w:start w:val="5"/>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812F97"/>
    <w:multiLevelType w:val="hybridMultilevel"/>
    <w:tmpl w:val="EDE4041C"/>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B317C7B"/>
    <w:multiLevelType w:val="hybridMultilevel"/>
    <w:tmpl w:val="0150B2AA"/>
    <w:lvl w:ilvl="0" w:tplc="C102F02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AF50C0"/>
    <w:multiLevelType w:val="hybridMultilevel"/>
    <w:tmpl w:val="16227238"/>
    <w:lvl w:ilvl="0" w:tplc="956863A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2C5CD5"/>
    <w:multiLevelType w:val="hybridMultilevel"/>
    <w:tmpl w:val="D398F9C2"/>
    <w:lvl w:ilvl="0" w:tplc="442EFDB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6E661E66"/>
    <w:multiLevelType w:val="hybridMultilevel"/>
    <w:tmpl w:val="F4B0A66E"/>
    <w:lvl w:ilvl="0" w:tplc="A0FEC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324BEF"/>
    <w:multiLevelType w:val="hybridMultilevel"/>
    <w:tmpl w:val="9A36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7"/>
  </w:num>
  <w:num w:numId="4">
    <w:abstractNumId w:val="14"/>
  </w:num>
  <w:num w:numId="5">
    <w:abstractNumId w:val="0"/>
  </w:num>
  <w:num w:numId="6">
    <w:abstractNumId w:val="5"/>
  </w:num>
  <w:num w:numId="7">
    <w:abstractNumId w:val="8"/>
  </w:num>
  <w:num w:numId="8">
    <w:abstractNumId w:val="4"/>
  </w:num>
  <w:num w:numId="9">
    <w:abstractNumId w:val="6"/>
  </w:num>
  <w:num w:numId="10">
    <w:abstractNumId w:val="23"/>
  </w:num>
  <w:num w:numId="11">
    <w:abstractNumId w:val="21"/>
  </w:num>
  <w:num w:numId="12">
    <w:abstractNumId w:val="2"/>
  </w:num>
  <w:num w:numId="13">
    <w:abstractNumId w:val="12"/>
  </w:num>
  <w:num w:numId="14">
    <w:abstractNumId w:val="1"/>
  </w:num>
  <w:num w:numId="15">
    <w:abstractNumId w:val="2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16"/>
  </w:num>
  <w:num w:numId="20">
    <w:abstractNumId w:val="10"/>
  </w:num>
  <w:num w:numId="21">
    <w:abstractNumId w:val="11"/>
  </w:num>
  <w:num w:numId="22">
    <w:abstractNumId w:val="20"/>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E0"/>
    <w:rsid w:val="00012A11"/>
    <w:rsid w:val="000133FA"/>
    <w:rsid w:val="0002049D"/>
    <w:rsid w:val="000225DF"/>
    <w:rsid w:val="00026E70"/>
    <w:rsid w:val="0004445C"/>
    <w:rsid w:val="00051794"/>
    <w:rsid w:val="000654DA"/>
    <w:rsid w:val="000714F0"/>
    <w:rsid w:val="00072E5B"/>
    <w:rsid w:val="000845DC"/>
    <w:rsid w:val="00086144"/>
    <w:rsid w:val="000907F4"/>
    <w:rsid w:val="000A6894"/>
    <w:rsid w:val="000B49B3"/>
    <w:rsid w:val="000B7B35"/>
    <w:rsid w:val="000D7EC9"/>
    <w:rsid w:val="000E038D"/>
    <w:rsid w:val="000E1116"/>
    <w:rsid w:val="000E7B36"/>
    <w:rsid w:val="000F21FC"/>
    <w:rsid w:val="000F4A53"/>
    <w:rsid w:val="000F59D5"/>
    <w:rsid w:val="00106315"/>
    <w:rsid w:val="001140C5"/>
    <w:rsid w:val="00122CBA"/>
    <w:rsid w:val="0013708A"/>
    <w:rsid w:val="001425A6"/>
    <w:rsid w:val="00151EF7"/>
    <w:rsid w:val="00157C51"/>
    <w:rsid w:val="001618C0"/>
    <w:rsid w:val="001648B0"/>
    <w:rsid w:val="0016732B"/>
    <w:rsid w:val="00170620"/>
    <w:rsid w:val="00175F8D"/>
    <w:rsid w:val="00184AD6"/>
    <w:rsid w:val="001874E2"/>
    <w:rsid w:val="001921DC"/>
    <w:rsid w:val="00194812"/>
    <w:rsid w:val="001A1104"/>
    <w:rsid w:val="001A2A78"/>
    <w:rsid w:val="001B10B6"/>
    <w:rsid w:val="001B4727"/>
    <w:rsid w:val="001B72AF"/>
    <w:rsid w:val="001C50FE"/>
    <w:rsid w:val="001D5322"/>
    <w:rsid w:val="001D77D7"/>
    <w:rsid w:val="001E6E85"/>
    <w:rsid w:val="001E7B90"/>
    <w:rsid w:val="001F1A1C"/>
    <w:rsid w:val="001F2C4A"/>
    <w:rsid w:val="001F2F99"/>
    <w:rsid w:val="001F3336"/>
    <w:rsid w:val="0020446C"/>
    <w:rsid w:val="00207D1E"/>
    <w:rsid w:val="00212E9F"/>
    <w:rsid w:val="00221F7E"/>
    <w:rsid w:val="00223216"/>
    <w:rsid w:val="002250B4"/>
    <w:rsid w:val="00232D34"/>
    <w:rsid w:val="00240D4D"/>
    <w:rsid w:val="00243C19"/>
    <w:rsid w:val="002455A4"/>
    <w:rsid w:val="002573A5"/>
    <w:rsid w:val="00283FC1"/>
    <w:rsid w:val="00285109"/>
    <w:rsid w:val="00295E56"/>
    <w:rsid w:val="00297139"/>
    <w:rsid w:val="002A395A"/>
    <w:rsid w:val="002B0374"/>
    <w:rsid w:val="002B2324"/>
    <w:rsid w:val="002B4450"/>
    <w:rsid w:val="002C1311"/>
    <w:rsid w:val="002C42C6"/>
    <w:rsid w:val="002C5C67"/>
    <w:rsid w:val="002D432F"/>
    <w:rsid w:val="002E68F8"/>
    <w:rsid w:val="002F28B8"/>
    <w:rsid w:val="002F3007"/>
    <w:rsid w:val="002F3C8D"/>
    <w:rsid w:val="002F7C3F"/>
    <w:rsid w:val="00300547"/>
    <w:rsid w:val="00320D13"/>
    <w:rsid w:val="00326D7A"/>
    <w:rsid w:val="00334E2A"/>
    <w:rsid w:val="00340FE0"/>
    <w:rsid w:val="00342DC6"/>
    <w:rsid w:val="00344B57"/>
    <w:rsid w:val="00355A03"/>
    <w:rsid w:val="00356F79"/>
    <w:rsid w:val="0036529A"/>
    <w:rsid w:val="00365DF1"/>
    <w:rsid w:val="00366B6A"/>
    <w:rsid w:val="0037082C"/>
    <w:rsid w:val="00370AE5"/>
    <w:rsid w:val="00374BDC"/>
    <w:rsid w:val="003827D6"/>
    <w:rsid w:val="00387210"/>
    <w:rsid w:val="00387C35"/>
    <w:rsid w:val="003A709A"/>
    <w:rsid w:val="003B151C"/>
    <w:rsid w:val="003B4CE1"/>
    <w:rsid w:val="003C5130"/>
    <w:rsid w:val="003C6DB2"/>
    <w:rsid w:val="003D2512"/>
    <w:rsid w:val="003D4CB0"/>
    <w:rsid w:val="003D7401"/>
    <w:rsid w:val="003E5534"/>
    <w:rsid w:val="003E6013"/>
    <w:rsid w:val="003E72CF"/>
    <w:rsid w:val="003F0E67"/>
    <w:rsid w:val="003F290D"/>
    <w:rsid w:val="004003AB"/>
    <w:rsid w:val="00401751"/>
    <w:rsid w:val="00401F8A"/>
    <w:rsid w:val="00407B2A"/>
    <w:rsid w:val="004305C0"/>
    <w:rsid w:val="00433B80"/>
    <w:rsid w:val="00440719"/>
    <w:rsid w:val="00453BBC"/>
    <w:rsid w:val="00457770"/>
    <w:rsid w:val="00473833"/>
    <w:rsid w:val="00492222"/>
    <w:rsid w:val="004A4626"/>
    <w:rsid w:val="004A5EF6"/>
    <w:rsid w:val="004B16CA"/>
    <w:rsid w:val="004B476F"/>
    <w:rsid w:val="004C0462"/>
    <w:rsid w:val="004C157C"/>
    <w:rsid w:val="004D0082"/>
    <w:rsid w:val="004D34D5"/>
    <w:rsid w:val="004D4A77"/>
    <w:rsid w:val="004D5318"/>
    <w:rsid w:val="004D6B39"/>
    <w:rsid w:val="004E1005"/>
    <w:rsid w:val="004E10D1"/>
    <w:rsid w:val="005064AB"/>
    <w:rsid w:val="00527DF4"/>
    <w:rsid w:val="00535644"/>
    <w:rsid w:val="00541138"/>
    <w:rsid w:val="0054153D"/>
    <w:rsid w:val="005423D8"/>
    <w:rsid w:val="00542E1C"/>
    <w:rsid w:val="00552D7F"/>
    <w:rsid w:val="005617B4"/>
    <w:rsid w:val="005737D0"/>
    <w:rsid w:val="005741BB"/>
    <w:rsid w:val="005747DA"/>
    <w:rsid w:val="00583293"/>
    <w:rsid w:val="00583D56"/>
    <w:rsid w:val="00587F05"/>
    <w:rsid w:val="00597710"/>
    <w:rsid w:val="005B37D4"/>
    <w:rsid w:val="005B3B58"/>
    <w:rsid w:val="005C79E0"/>
    <w:rsid w:val="005D15DE"/>
    <w:rsid w:val="005D2503"/>
    <w:rsid w:val="005D2DE6"/>
    <w:rsid w:val="005D31ED"/>
    <w:rsid w:val="005D3D2D"/>
    <w:rsid w:val="005F0EAA"/>
    <w:rsid w:val="005F67CC"/>
    <w:rsid w:val="006025C3"/>
    <w:rsid w:val="006041B4"/>
    <w:rsid w:val="00606C5A"/>
    <w:rsid w:val="00631641"/>
    <w:rsid w:val="0063417C"/>
    <w:rsid w:val="00656286"/>
    <w:rsid w:val="0068047E"/>
    <w:rsid w:val="006D5F3F"/>
    <w:rsid w:val="006E18E9"/>
    <w:rsid w:val="006E3ADF"/>
    <w:rsid w:val="006E6D91"/>
    <w:rsid w:val="006E6E9F"/>
    <w:rsid w:val="006F2F85"/>
    <w:rsid w:val="00700722"/>
    <w:rsid w:val="0071030D"/>
    <w:rsid w:val="0071100F"/>
    <w:rsid w:val="0072072F"/>
    <w:rsid w:val="00727A6D"/>
    <w:rsid w:val="0073057B"/>
    <w:rsid w:val="00733001"/>
    <w:rsid w:val="007348A0"/>
    <w:rsid w:val="0073663F"/>
    <w:rsid w:val="00743FFA"/>
    <w:rsid w:val="007454D5"/>
    <w:rsid w:val="00746867"/>
    <w:rsid w:val="00747060"/>
    <w:rsid w:val="0075202D"/>
    <w:rsid w:val="00753864"/>
    <w:rsid w:val="00753B17"/>
    <w:rsid w:val="00772786"/>
    <w:rsid w:val="00784703"/>
    <w:rsid w:val="007B0DD6"/>
    <w:rsid w:val="007B1C6B"/>
    <w:rsid w:val="007B1E6B"/>
    <w:rsid w:val="007C119D"/>
    <w:rsid w:val="007C1585"/>
    <w:rsid w:val="007D4742"/>
    <w:rsid w:val="007D572E"/>
    <w:rsid w:val="007E0ACC"/>
    <w:rsid w:val="007E2DD5"/>
    <w:rsid w:val="00800AD5"/>
    <w:rsid w:val="00802EC9"/>
    <w:rsid w:val="00803A89"/>
    <w:rsid w:val="00815EA6"/>
    <w:rsid w:val="00816EC8"/>
    <w:rsid w:val="0083059B"/>
    <w:rsid w:val="0083589D"/>
    <w:rsid w:val="00845E61"/>
    <w:rsid w:val="00847F38"/>
    <w:rsid w:val="008513F3"/>
    <w:rsid w:val="00854436"/>
    <w:rsid w:val="008551BA"/>
    <w:rsid w:val="0086505C"/>
    <w:rsid w:val="00865D54"/>
    <w:rsid w:val="00873682"/>
    <w:rsid w:val="008809C3"/>
    <w:rsid w:val="008816AF"/>
    <w:rsid w:val="008830F7"/>
    <w:rsid w:val="00893527"/>
    <w:rsid w:val="008A1190"/>
    <w:rsid w:val="008A2149"/>
    <w:rsid w:val="008A372B"/>
    <w:rsid w:val="008B79EC"/>
    <w:rsid w:val="008C003D"/>
    <w:rsid w:val="008C0121"/>
    <w:rsid w:val="008C5427"/>
    <w:rsid w:val="008C5728"/>
    <w:rsid w:val="008F54B1"/>
    <w:rsid w:val="00905808"/>
    <w:rsid w:val="009137F1"/>
    <w:rsid w:val="00914A30"/>
    <w:rsid w:val="00930D5A"/>
    <w:rsid w:val="00941EAD"/>
    <w:rsid w:val="00946ED2"/>
    <w:rsid w:val="009527DF"/>
    <w:rsid w:val="00952B9D"/>
    <w:rsid w:val="00952D25"/>
    <w:rsid w:val="0097295C"/>
    <w:rsid w:val="0097430B"/>
    <w:rsid w:val="00995EFF"/>
    <w:rsid w:val="009A146F"/>
    <w:rsid w:val="009A166A"/>
    <w:rsid w:val="009C434E"/>
    <w:rsid w:val="009C4997"/>
    <w:rsid w:val="009D09ED"/>
    <w:rsid w:val="009D2553"/>
    <w:rsid w:val="009D7E17"/>
    <w:rsid w:val="00A21EFA"/>
    <w:rsid w:val="00A23EFB"/>
    <w:rsid w:val="00A2517D"/>
    <w:rsid w:val="00A57ACE"/>
    <w:rsid w:val="00A61B4F"/>
    <w:rsid w:val="00A62F0D"/>
    <w:rsid w:val="00A63B1D"/>
    <w:rsid w:val="00A65527"/>
    <w:rsid w:val="00A73FBF"/>
    <w:rsid w:val="00A80948"/>
    <w:rsid w:val="00A93818"/>
    <w:rsid w:val="00A94D1E"/>
    <w:rsid w:val="00AC398E"/>
    <w:rsid w:val="00AC3D9E"/>
    <w:rsid w:val="00AC503A"/>
    <w:rsid w:val="00AD5409"/>
    <w:rsid w:val="00AD7F55"/>
    <w:rsid w:val="00AE27CA"/>
    <w:rsid w:val="00AE6239"/>
    <w:rsid w:val="00AE7FF0"/>
    <w:rsid w:val="00AF6D95"/>
    <w:rsid w:val="00B24BA9"/>
    <w:rsid w:val="00B25CBE"/>
    <w:rsid w:val="00B2707A"/>
    <w:rsid w:val="00B41BCE"/>
    <w:rsid w:val="00B432B9"/>
    <w:rsid w:val="00B51A10"/>
    <w:rsid w:val="00B62645"/>
    <w:rsid w:val="00B67D5A"/>
    <w:rsid w:val="00B72074"/>
    <w:rsid w:val="00B73495"/>
    <w:rsid w:val="00B84115"/>
    <w:rsid w:val="00B920FB"/>
    <w:rsid w:val="00BA58EC"/>
    <w:rsid w:val="00BB10BC"/>
    <w:rsid w:val="00BB3D14"/>
    <w:rsid w:val="00BB4485"/>
    <w:rsid w:val="00BC10F3"/>
    <w:rsid w:val="00BC45D5"/>
    <w:rsid w:val="00BC7AEE"/>
    <w:rsid w:val="00BD48DA"/>
    <w:rsid w:val="00BE0734"/>
    <w:rsid w:val="00BE7FDC"/>
    <w:rsid w:val="00BF183B"/>
    <w:rsid w:val="00BF23C2"/>
    <w:rsid w:val="00C01507"/>
    <w:rsid w:val="00C07BAA"/>
    <w:rsid w:val="00C113B0"/>
    <w:rsid w:val="00C145D1"/>
    <w:rsid w:val="00C17B91"/>
    <w:rsid w:val="00C252CF"/>
    <w:rsid w:val="00C279EF"/>
    <w:rsid w:val="00C315B1"/>
    <w:rsid w:val="00C318A0"/>
    <w:rsid w:val="00C34AEF"/>
    <w:rsid w:val="00C40C38"/>
    <w:rsid w:val="00C45847"/>
    <w:rsid w:val="00C5165D"/>
    <w:rsid w:val="00C55B32"/>
    <w:rsid w:val="00C61ACC"/>
    <w:rsid w:val="00C637F1"/>
    <w:rsid w:val="00C638EF"/>
    <w:rsid w:val="00C73B43"/>
    <w:rsid w:val="00C941FD"/>
    <w:rsid w:val="00C9613C"/>
    <w:rsid w:val="00CB1DEA"/>
    <w:rsid w:val="00CB1FFB"/>
    <w:rsid w:val="00CC0E6D"/>
    <w:rsid w:val="00CC302E"/>
    <w:rsid w:val="00CD15CD"/>
    <w:rsid w:val="00CD5D3A"/>
    <w:rsid w:val="00CE578C"/>
    <w:rsid w:val="00D04F14"/>
    <w:rsid w:val="00D10276"/>
    <w:rsid w:val="00D24073"/>
    <w:rsid w:val="00D32D61"/>
    <w:rsid w:val="00D34888"/>
    <w:rsid w:val="00D54480"/>
    <w:rsid w:val="00D62644"/>
    <w:rsid w:val="00D6654C"/>
    <w:rsid w:val="00D71EC3"/>
    <w:rsid w:val="00D74943"/>
    <w:rsid w:val="00D75F40"/>
    <w:rsid w:val="00DB5FDD"/>
    <w:rsid w:val="00DB7C91"/>
    <w:rsid w:val="00DC2C58"/>
    <w:rsid w:val="00DD19EB"/>
    <w:rsid w:val="00DD2481"/>
    <w:rsid w:val="00DD6863"/>
    <w:rsid w:val="00DF0336"/>
    <w:rsid w:val="00DF0F64"/>
    <w:rsid w:val="00DF1BEC"/>
    <w:rsid w:val="00DF1EDA"/>
    <w:rsid w:val="00DF546B"/>
    <w:rsid w:val="00DF74C7"/>
    <w:rsid w:val="00DF7DD7"/>
    <w:rsid w:val="00E00E82"/>
    <w:rsid w:val="00E06150"/>
    <w:rsid w:val="00E164EF"/>
    <w:rsid w:val="00E269CA"/>
    <w:rsid w:val="00E3090E"/>
    <w:rsid w:val="00E42515"/>
    <w:rsid w:val="00E47C06"/>
    <w:rsid w:val="00E51CEC"/>
    <w:rsid w:val="00E64256"/>
    <w:rsid w:val="00E70BB6"/>
    <w:rsid w:val="00E9377E"/>
    <w:rsid w:val="00EA4F04"/>
    <w:rsid w:val="00EB2B4D"/>
    <w:rsid w:val="00EC67BE"/>
    <w:rsid w:val="00ED355F"/>
    <w:rsid w:val="00ED449E"/>
    <w:rsid w:val="00ED5F4B"/>
    <w:rsid w:val="00EF44D2"/>
    <w:rsid w:val="00F114FD"/>
    <w:rsid w:val="00F16570"/>
    <w:rsid w:val="00F2028A"/>
    <w:rsid w:val="00F20CD4"/>
    <w:rsid w:val="00F21407"/>
    <w:rsid w:val="00F221EB"/>
    <w:rsid w:val="00F327E3"/>
    <w:rsid w:val="00F33435"/>
    <w:rsid w:val="00F34155"/>
    <w:rsid w:val="00F40E9B"/>
    <w:rsid w:val="00F45B62"/>
    <w:rsid w:val="00F56498"/>
    <w:rsid w:val="00F5677C"/>
    <w:rsid w:val="00F575E7"/>
    <w:rsid w:val="00F6171C"/>
    <w:rsid w:val="00F66356"/>
    <w:rsid w:val="00F672A3"/>
    <w:rsid w:val="00F7005A"/>
    <w:rsid w:val="00F72535"/>
    <w:rsid w:val="00F73E30"/>
    <w:rsid w:val="00F765F3"/>
    <w:rsid w:val="00F8485A"/>
    <w:rsid w:val="00FA44A6"/>
    <w:rsid w:val="00FB2D9A"/>
    <w:rsid w:val="00FC31EF"/>
    <w:rsid w:val="00FE7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55"/>
    <w:pPr>
      <w:spacing w:after="0" w:line="240" w:lineRule="auto"/>
      <w:jc w:val="both"/>
    </w:pPr>
    <w:rPr>
      <w:rFonts w:ascii="Century Gothic" w:hAnsi="Century Gothic"/>
      <w:sz w:val="20"/>
      <w:lang w:val="fr-FR"/>
    </w:rPr>
  </w:style>
  <w:style w:type="paragraph" w:styleId="Heading1">
    <w:name w:val="heading 1"/>
    <w:basedOn w:val="Normal"/>
    <w:next w:val="Normal"/>
    <w:link w:val="Heading1Char"/>
    <w:uiPriority w:val="9"/>
    <w:qFormat/>
    <w:rsid w:val="00F34155"/>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A58EC"/>
    <w:pPr>
      <w:tabs>
        <w:tab w:val="left" w:pos="720"/>
      </w:tabs>
      <w:suppressAutoHyphens/>
      <w:overflowPunct w:val="0"/>
      <w:autoSpaceDE w:val="0"/>
      <w:autoSpaceDN w:val="0"/>
      <w:adjustRightInd w:val="0"/>
      <w:textAlignment w:val="baseline"/>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semiHidden/>
    <w:rsid w:val="00BA58EC"/>
    <w:rPr>
      <w:rFonts w:ascii="Times New Roman" w:eastAsia="Times New Roman" w:hAnsi="Times New Roman" w:cs="Times New Roman"/>
      <w:sz w:val="24"/>
      <w:szCs w:val="20"/>
      <w:lang w:val="en-US" w:eastAsia="en-GB"/>
    </w:rPr>
  </w:style>
  <w:style w:type="character" w:customStyle="1" w:styleId="pseditboxdisponly">
    <w:name w:val="pseditbox_disponly"/>
    <w:basedOn w:val="DefaultParagraphFont"/>
    <w:rsid w:val="00BA58EC"/>
  </w:style>
  <w:style w:type="character" w:customStyle="1" w:styleId="Heading1Char">
    <w:name w:val="Heading 1 Char"/>
    <w:basedOn w:val="DefaultParagraphFont"/>
    <w:link w:val="Heading1"/>
    <w:uiPriority w:val="9"/>
    <w:rsid w:val="00F34155"/>
    <w:rPr>
      <w:rFonts w:ascii="Century Gothic" w:eastAsiaTheme="majorEastAsia" w:hAnsi="Century Gothic" w:cstheme="majorBidi"/>
      <w:b/>
      <w:bCs/>
      <w:sz w:val="20"/>
      <w:szCs w:val="28"/>
      <w:lang w:val="fr-FR"/>
    </w:rPr>
  </w:style>
  <w:style w:type="paragraph" w:styleId="TOCHeading">
    <w:name w:val="TOC Heading"/>
    <w:basedOn w:val="Heading1"/>
    <w:next w:val="Normal"/>
    <w:uiPriority w:val="39"/>
    <w:semiHidden/>
    <w:unhideWhenUsed/>
    <w:qFormat/>
    <w:rsid w:val="00320D13"/>
    <w:pPr>
      <w:outlineLvl w:val="9"/>
    </w:pPr>
    <w:rPr>
      <w:lang w:val="en-US" w:eastAsia="ja-JP"/>
    </w:rPr>
  </w:style>
  <w:style w:type="paragraph" w:styleId="BalloonText">
    <w:name w:val="Balloon Text"/>
    <w:basedOn w:val="Normal"/>
    <w:link w:val="BalloonTextChar"/>
    <w:uiPriority w:val="99"/>
    <w:semiHidden/>
    <w:unhideWhenUsed/>
    <w:rsid w:val="00320D13"/>
    <w:rPr>
      <w:rFonts w:ascii="Tahoma" w:hAnsi="Tahoma" w:cs="Tahoma"/>
      <w:sz w:val="16"/>
      <w:szCs w:val="16"/>
    </w:rPr>
  </w:style>
  <w:style w:type="character" w:customStyle="1" w:styleId="BalloonTextChar">
    <w:name w:val="Balloon Text Char"/>
    <w:basedOn w:val="DefaultParagraphFont"/>
    <w:link w:val="BalloonText"/>
    <w:uiPriority w:val="99"/>
    <w:semiHidden/>
    <w:rsid w:val="00320D13"/>
    <w:rPr>
      <w:rFonts w:ascii="Tahoma" w:hAnsi="Tahoma" w:cs="Tahoma"/>
      <w:sz w:val="16"/>
      <w:szCs w:val="16"/>
      <w:lang w:val="fr-FR"/>
    </w:rPr>
  </w:style>
  <w:style w:type="character" w:styleId="CommentReference">
    <w:name w:val="annotation reference"/>
    <w:basedOn w:val="DefaultParagraphFont"/>
    <w:uiPriority w:val="99"/>
    <w:semiHidden/>
    <w:unhideWhenUsed/>
    <w:rsid w:val="00374BDC"/>
    <w:rPr>
      <w:sz w:val="16"/>
      <w:szCs w:val="16"/>
    </w:rPr>
  </w:style>
  <w:style w:type="paragraph" w:styleId="CommentText">
    <w:name w:val="annotation text"/>
    <w:basedOn w:val="Normal"/>
    <w:link w:val="CommentTextChar"/>
    <w:uiPriority w:val="99"/>
    <w:semiHidden/>
    <w:unhideWhenUsed/>
    <w:rsid w:val="00374BDC"/>
    <w:rPr>
      <w:szCs w:val="20"/>
    </w:rPr>
  </w:style>
  <w:style w:type="character" w:customStyle="1" w:styleId="CommentTextChar">
    <w:name w:val="Comment Text Char"/>
    <w:basedOn w:val="DefaultParagraphFont"/>
    <w:link w:val="CommentText"/>
    <w:uiPriority w:val="99"/>
    <w:semiHidden/>
    <w:rsid w:val="00374BDC"/>
    <w:rPr>
      <w:sz w:val="20"/>
      <w:szCs w:val="20"/>
      <w:lang w:val="fr-FR"/>
    </w:rPr>
  </w:style>
  <w:style w:type="paragraph" w:styleId="CommentSubject">
    <w:name w:val="annotation subject"/>
    <w:basedOn w:val="CommentText"/>
    <w:next w:val="CommentText"/>
    <w:link w:val="CommentSubjectChar"/>
    <w:uiPriority w:val="99"/>
    <w:semiHidden/>
    <w:unhideWhenUsed/>
    <w:rsid w:val="00374BDC"/>
    <w:rPr>
      <w:b/>
      <w:bCs/>
    </w:rPr>
  </w:style>
  <w:style w:type="character" w:customStyle="1" w:styleId="CommentSubjectChar">
    <w:name w:val="Comment Subject Char"/>
    <w:basedOn w:val="CommentTextChar"/>
    <w:link w:val="CommentSubject"/>
    <w:uiPriority w:val="99"/>
    <w:semiHidden/>
    <w:rsid w:val="00374BDC"/>
    <w:rPr>
      <w:b/>
      <w:bCs/>
      <w:sz w:val="20"/>
      <w:szCs w:val="20"/>
      <w:lang w:val="fr-FR"/>
    </w:rPr>
  </w:style>
  <w:style w:type="paragraph" w:styleId="ListParagraph">
    <w:name w:val="List Paragraph"/>
    <w:basedOn w:val="Normal"/>
    <w:uiPriority w:val="34"/>
    <w:qFormat/>
    <w:rsid w:val="00941EAD"/>
    <w:pPr>
      <w:ind w:left="720"/>
      <w:contextualSpacing/>
    </w:pPr>
  </w:style>
  <w:style w:type="character" w:styleId="Hyperlink">
    <w:name w:val="Hyperlink"/>
    <w:basedOn w:val="DefaultParagraphFont"/>
    <w:uiPriority w:val="99"/>
    <w:unhideWhenUsed/>
    <w:rsid w:val="000225DF"/>
    <w:rPr>
      <w:color w:val="0000FF"/>
      <w:u w:val="single"/>
    </w:rPr>
  </w:style>
  <w:style w:type="paragraph" w:styleId="TOC1">
    <w:name w:val="toc 1"/>
    <w:basedOn w:val="Normal"/>
    <w:next w:val="Normal"/>
    <w:autoRedefine/>
    <w:uiPriority w:val="39"/>
    <w:unhideWhenUsed/>
    <w:rsid w:val="008A372B"/>
    <w:pPr>
      <w:spacing w:after="100"/>
    </w:pPr>
  </w:style>
  <w:style w:type="paragraph" w:styleId="ListBullet">
    <w:name w:val="List Bullet"/>
    <w:basedOn w:val="Normal"/>
    <w:uiPriority w:val="99"/>
    <w:unhideWhenUsed/>
    <w:rsid w:val="00D34888"/>
    <w:pPr>
      <w:numPr>
        <w:numId w:val="5"/>
      </w:numPr>
      <w:contextualSpacing/>
    </w:pPr>
  </w:style>
  <w:style w:type="paragraph" w:styleId="BodyText3">
    <w:name w:val="Body Text 3"/>
    <w:basedOn w:val="Normal"/>
    <w:link w:val="BodyText3Char"/>
    <w:uiPriority w:val="99"/>
    <w:unhideWhenUsed/>
    <w:rsid w:val="00BC10F3"/>
    <w:pPr>
      <w:spacing w:after="120"/>
    </w:pPr>
    <w:rPr>
      <w:sz w:val="16"/>
      <w:szCs w:val="16"/>
    </w:rPr>
  </w:style>
  <w:style w:type="character" w:customStyle="1" w:styleId="BodyText3Char">
    <w:name w:val="Body Text 3 Char"/>
    <w:basedOn w:val="DefaultParagraphFont"/>
    <w:link w:val="BodyText3"/>
    <w:uiPriority w:val="99"/>
    <w:rsid w:val="00BC10F3"/>
    <w:rPr>
      <w:rFonts w:ascii="Century Gothic" w:hAnsi="Century Gothic"/>
      <w:sz w:val="16"/>
      <w:szCs w:val="16"/>
      <w:lang w:val="fr-FR"/>
    </w:rPr>
  </w:style>
  <w:style w:type="table" w:styleId="TableList5">
    <w:name w:val="Table List 5"/>
    <w:basedOn w:val="TableNormal"/>
    <w:rsid w:val="00BC10F3"/>
    <w:pPr>
      <w:spacing w:after="0" w:line="240" w:lineRule="auto"/>
    </w:pPr>
    <w:rPr>
      <w:rFonts w:ascii="Times New Roman" w:eastAsia="Times" w:hAnsi="Times New Roman" w:cs="Times New Roman"/>
      <w:sz w:val="20"/>
      <w:szCs w:val="20"/>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232D34"/>
    <w:rPr>
      <w:color w:val="800080" w:themeColor="followedHyperlink"/>
      <w:u w:val="single"/>
    </w:rPr>
  </w:style>
  <w:style w:type="paragraph" w:styleId="NoSpacing">
    <w:name w:val="No Spacing"/>
    <w:uiPriority w:val="1"/>
    <w:qFormat/>
    <w:rsid w:val="00FA44A6"/>
    <w:pPr>
      <w:spacing w:after="0" w:line="240" w:lineRule="auto"/>
      <w:jc w:val="both"/>
    </w:pPr>
    <w:rPr>
      <w:rFonts w:ascii="Century Gothic" w:hAnsi="Century Gothic"/>
      <w:sz w:val="20"/>
      <w:lang w:val="fr-FR"/>
    </w:rPr>
  </w:style>
  <w:style w:type="paragraph" w:styleId="Header">
    <w:name w:val="header"/>
    <w:basedOn w:val="Normal"/>
    <w:link w:val="HeaderChar"/>
    <w:uiPriority w:val="99"/>
    <w:unhideWhenUsed/>
    <w:rsid w:val="00815EA6"/>
    <w:pPr>
      <w:tabs>
        <w:tab w:val="center" w:pos="4513"/>
        <w:tab w:val="right" w:pos="9026"/>
      </w:tabs>
    </w:pPr>
  </w:style>
  <w:style w:type="character" w:customStyle="1" w:styleId="HeaderChar">
    <w:name w:val="Header Char"/>
    <w:basedOn w:val="DefaultParagraphFont"/>
    <w:link w:val="Header"/>
    <w:uiPriority w:val="99"/>
    <w:rsid w:val="00815EA6"/>
    <w:rPr>
      <w:rFonts w:ascii="Century Gothic" w:hAnsi="Century Gothic"/>
      <w:sz w:val="20"/>
      <w:lang w:val="fr-FR"/>
    </w:rPr>
  </w:style>
  <w:style w:type="paragraph" w:styleId="Footer">
    <w:name w:val="footer"/>
    <w:basedOn w:val="Normal"/>
    <w:link w:val="FooterChar"/>
    <w:uiPriority w:val="99"/>
    <w:unhideWhenUsed/>
    <w:rsid w:val="00815EA6"/>
    <w:pPr>
      <w:tabs>
        <w:tab w:val="center" w:pos="4513"/>
        <w:tab w:val="right" w:pos="9026"/>
      </w:tabs>
    </w:pPr>
  </w:style>
  <w:style w:type="character" w:customStyle="1" w:styleId="FooterChar">
    <w:name w:val="Footer Char"/>
    <w:basedOn w:val="DefaultParagraphFont"/>
    <w:link w:val="Footer"/>
    <w:uiPriority w:val="99"/>
    <w:rsid w:val="00815EA6"/>
    <w:rPr>
      <w:rFonts w:ascii="Century Gothic" w:hAnsi="Century Gothic"/>
      <w:sz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List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55"/>
    <w:pPr>
      <w:spacing w:after="0" w:line="240" w:lineRule="auto"/>
      <w:jc w:val="both"/>
    </w:pPr>
    <w:rPr>
      <w:rFonts w:ascii="Century Gothic" w:hAnsi="Century Gothic"/>
      <w:sz w:val="20"/>
      <w:lang w:val="fr-FR"/>
    </w:rPr>
  </w:style>
  <w:style w:type="paragraph" w:styleId="Heading1">
    <w:name w:val="heading 1"/>
    <w:basedOn w:val="Normal"/>
    <w:next w:val="Normal"/>
    <w:link w:val="Heading1Char"/>
    <w:uiPriority w:val="9"/>
    <w:qFormat/>
    <w:rsid w:val="00F34155"/>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A58EC"/>
    <w:pPr>
      <w:tabs>
        <w:tab w:val="left" w:pos="720"/>
      </w:tabs>
      <w:suppressAutoHyphens/>
      <w:overflowPunct w:val="0"/>
      <w:autoSpaceDE w:val="0"/>
      <w:autoSpaceDN w:val="0"/>
      <w:adjustRightInd w:val="0"/>
      <w:textAlignment w:val="baseline"/>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semiHidden/>
    <w:rsid w:val="00BA58EC"/>
    <w:rPr>
      <w:rFonts w:ascii="Times New Roman" w:eastAsia="Times New Roman" w:hAnsi="Times New Roman" w:cs="Times New Roman"/>
      <w:sz w:val="24"/>
      <w:szCs w:val="20"/>
      <w:lang w:val="en-US" w:eastAsia="en-GB"/>
    </w:rPr>
  </w:style>
  <w:style w:type="character" w:customStyle="1" w:styleId="pseditboxdisponly">
    <w:name w:val="pseditbox_disponly"/>
    <w:basedOn w:val="DefaultParagraphFont"/>
    <w:rsid w:val="00BA58EC"/>
  </w:style>
  <w:style w:type="character" w:customStyle="1" w:styleId="Heading1Char">
    <w:name w:val="Heading 1 Char"/>
    <w:basedOn w:val="DefaultParagraphFont"/>
    <w:link w:val="Heading1"/>
    <w:uiPriority w:val="9"/>
    <w:rsid w:val="00F34155"/>
    <w:rPr>
      <w:rFonts w:ascii="Century Gothic" w:eastAsiaTheme="majorEastAsia" w:hAnsi="Century Gothic" w:cstheme="majorBidi"/>
      <w:b/>
      <w:bCs/>
      <w:sz w:val="20"/>
      <w:szCs w:val="28"/>
      <w:lang w:val="fr-FR"/>
    </w:rPr>
  </w:style>
  <w:style w:type="paragraph" w:styleId="TOCHeading">
    <w:name w:val="TOC Heading"/>
    <w:basedOn w:val="Heading1"/>
    <w:next w:val="Normal"/>
    <w:uiPriority w:val="39"/>
    <w:semiHidden/>
    <w:unhideWhenUsed/>
    <w:qFormat/>
    <w:rsid w:val="00320D13"/>
    <w:pPr>
      <w:outlineLvl w:val="9"/>
    </w:pPr>
    <w:rPr>
      <w:lang w:val="en-US" w:eastAsia="ja-JP"/>
    </w:rPr>
  </w:style>
  <w:style w:type="paragraph" w:styleId="BalloonText">
    <w:name w:val="Balloon Text"/>
    <w:basedOn w:val="Normal"/>
    <w:link w:val="BalloonTextChar"/>
    <w:uiPriority w:val="99"/>
    <w:semiHidden/>
    <w:unhideWhenUsed/>
    <w:rsid w:val="00320D13"/>
    <w:rPr>
      <w:rFonts w:ascii="Tahoma" w:hAnsi="Tahoma" w:cs="Tahoma"/>
      <w:sz w:val="16"/>
      <w:szCs w:val="16"/>
    </w:rPr>
  </w:style>
  <w:style w:type="character" w:customStyle="1" w:styleId="BalloonTextChar">
    <w:name w:val="Balloon Text Char"/>
    <w:basedOn w:val="DefaultParagraphFont"/>
    <w:link w:val="BalloonText"/>
    <w:uiPriority w:val="99"/>
    <w:semiHidden/>
    <w:rsid w:val="00320D13"/>
    <w:rPr>
      <w:rFonts w:ascii="Tahoma" w:hAnsi="Tahoma" w:cs="Tahoma"/>
      <w:sz w:val="16"/>
      <w:szCs w:val="16"/>
      <w:lang w:val="fr-FR"/>
    </w:rPr>
  </w:style>
  <w:style w:type="character" w:styleId="CommentReference">
    <w:name w:val="annotation reference"/>
    <w:basedOn w:val="DefaultParagraphFont"/>
    <w:uiPriority w:val="99"/>
    <w:semiHidden/>
    <w:unhideWhenUsed/>
    <w:rsid w:val="00374BDC"/>
    <w:rPr>
      <w:sz w:val="16"/>
      <w:szCs w:val="16"/>
    </w:rPr>
  </w:style>
  <w:style w:type="paragraph" w:styleId="CommentText">
    <w:name w:val="annotation text"/>
    <w:basedOn w:val="Normal"/>
    <w:link w:val="CommentTextChar"/>
    <w:uiPriority w:val="99"/>
    <w:semiHidden/>
    <w:unhideWhenUsed/>
    <w:rsid w:val="00374BDC"/>
    <w:rPr>
      <w:szCs w:val="20"/>
    </w:rPr>
  </w:style>
  <w:style w:type="character" w:customStyle="1" w:styleId="CommentTextChar">
    <w:name w:val="Comment Text Char"/>
    <w:basedOn w:val="DefaultParagraphFont"/>
    <w:link w:val="CommentText"/>
    <w:uiPriority w:val="99"/>
    <w:semiHidden/>
    <w:rsid w:val="00374BDC"/>
    <w:rPr>
      <w:sz w:val="20"/>
      <w:szCs w:val="20"/>
      <w:lang w:val="fr-FR"/>
    </w:rPr>
  </w:style>
  <w:style w:type="paragraph" w:styleId="CommentSubject">
    <w:name w:val="annotation subject"/>
    <w:basedOn w:val="CommentText"/>
    <w:next w:val="CommentText"/>
    <w:link w:val="CommentSubjectChar"/>
    <w:uiPriority w:val="99"/>
    <w:semiHidden/>
    <w:unhideWhenUsed/>
    <w:rsid w:val="00374BDC"/>
    <w:rPr>
      <w:b/>
      <w:bCs/>
    </w:rPr>
  </w:style>
  <w:style w:type="character" w:customStyle="1" w:styleId="CommentSubjectChar">
    <w:name w:val="Comment Subject Char"/>
    <w:basedOn w:val="CommentTextChar"/>
    <w:link w:val="CommentSubject"/>
    <w:uiPriority w:val="99"/>
    <w:semiHidden/>
    <w:rsid w:val="00374BDC"/>
    <w:rPr>
      <w:b/>
      <w:bCs/>
      <w:sz w:val="20"/>
      <w:szCs w:val="20"/>
      <w:lang w:val="fr-FR"/>
    </w:rPr>
  </w:style>
  <w:style w:type="paragraph" w:styleId="ListParagraph">
    <w:name w:val="List Paragraph"/>
    <w:basedOn w:val="Normal"/>
    <w:uiPriority w:val="34"/>
    <w:qFormat/>
    <w:rsid w:val="00941EAD"/>
    <w:pPr>
      <w:ind w:left="720"/>
      <w:contextualSpacing/>
    </w:pPr>
  </w:style>
  <w:style w:type="character" w:styleId="Hyperlink">
    <w:name w:val="Hyperlink"/>
    <w:basedOn w:val="DefaultParagraphFont"/>
    <w:uiPriority w:val="99"/>
    <w:unhideWhenUsed/>
    <w:rsid w:val="000225DF"/>
    <w:rPr>
      <w:color w:val="0000FF"/>
      <w:u w:val="single"/>
    </w:rPr>
  </w:style>
  <w:style w:type="paragraph" w:styleId="TOC1">
    <w:name w:val="toc 1"/>
    <w:basedOn w:val="Normal"/>
    <w:next w:val="Normal"/>
    <w:autoRedefine/>
    <w:uiPriority w:val="39"/>
    <w:unhideWhenUsed/>
    <w:rsid w:val="008A372B"/>
    <w:pPr>
      <w:spacing w:after="100"/>
    </w:pPr>
  </w:style>
  <w:style w:type="paragraph" w:styleId="ListBullet">
    <w:name w:val="List Bullet"/>
    <w:basedOn w:val="Normal"/>
    <w:uiPriority w:val="99"/>
    <w:unhideWhenUsed/>
    <w:rsid w:val="00D34888"/>
    <w:pPr>
      <w:numPr>
        <w:numId w:val="5"/>
      </w:numPr>
      <w:contextualSpacing/>
    </w:pPr>
  </w:style>
  <w:style w:type="paragraph" w:styleId="BodyText3">
    <w:name w:val="Body Text 3"/>
    <w:basedOn w:val="Normal"/>
    <w:link w:val="BodyText3Char"/>
    <w:uiPriority w:val="99"/>
    <w:unhideWhenUsed/>
    <w:rsid w:val="00BC10F3"/>
    <w:pPr>
      <w:spacing w:after="120"/>
    </w:pPr>
    <w:rPr>
      <w:sz w:val="16"/>
      <w:szCs w:val="16"/>
    </w:rPr>
  </w:style>
  <w:style w:type="character" w:customStyle="1" w:styleId="BodyText3Char">
    <w:name w:val="Body Text 3 Char"/>
    <w:basedOn w:val="DefaultParagraphFont"/>
    <w:link w:val="BodyText3"/>
    <w:uiPriority w:val="99"/>
    <w:rsid w:val="00BC10F3"/>
    <w:rPr>
      <w:rFonts w:ascii="Century Gothic" w:hAnsi="Century Gothic"/>
      <w:sz w:val="16"/>
      <w:szCs w:val="16"/>
      <w:lang w:val="fr-FR"/>
    </w:rPr>
  </w:style>
  <w:style w:type="table" w:styleId="TableList5">
    <w:name w:val="Table List 5"/>
    <w:basedOn w:val="TableNormal"/>
    <w:rsid w:val="00BC10F3"/>
    <w:pPr>
      <w:spacing w:after="0" w:line="240" w:lineRule="auto"/>
    </w:pPr>
    <w:rPr>
      <w:rFonts w:ascii="Times New Roman" w:eastAsia="Times" w:hAnsi="Times New Roman" w:cs="Times New Roman"/>
      <w:sz w:val="20"/>
      <w:szCs w:val="20"/>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232D34"/>
    <w:rPr>
      <w:color w:val="800080" w:themeColor="followedHyperlink"/>
      <w:u w:val="single"/>
    </w:rPr>
  </w:style>
  <w:style w:type="paragraph" w:styleId="NoSpacing">
    <w:name w:val="No Spacing"/>
    <w:uiPriority w:val="1"/>
    <w:qFormat/>
    <w:rsid w:val="00FA44A6"/>
    <w:pPr>
      <w:spacing w:after="0" w:line="240" w:lineRule="auto"/>
      <w:jc w:val="both"/>
    </w:pPr>
    <w:rPr>
      <w:rFonts w:ascii="Century Gothic" w:hAnsi="Century Gothic"/>
      <w:sz w:val="20"/>
      <w:lang w:val="fr-FR"/>
    </w:rPr>
  </w:style>
  <w:style w:type="paragraph" w:styleId="Header">
    <w:name w:val="header"/>
    <w:basedOn w:val="Normal"/>
    <w:link w:val="HeaderChar"/>
    <w:uiPriority w:val="99"/>
    <w:unhideWhenUsed/>
    <w:rsid w:val="00815EA6"/>
    <w:pPr>
      <w:tabs>
        <w:tab w:val="center" w:pos="4513"/>
        <w:tab w:val="right" w:pos="9026"/>
      </w:tabs>
    </w:pPr>
  </w:style>
  <w:style w:type="character" w:customStyle="1" w:styleId="HeaderChar">
    <w:name w:val="Header Char"/>
    <w:basedOn w:val="DefaultParagraphFont"/>
    <w:link w:val="Header"/>
    <w:uiPriority w:val="99"/>
    <w:rsid w:val="00815EA6"/>
    <w:rPr>
      <w:rFonts w:ascii="Century Gothic" w:hAnsi="Century Gothic"/>
      <w:sz w:val="20"/>
      <w:lang w:val="fr-FR"/>
    </w:rPr>
  </w:style>
  <w:style w:type="paragraph" w:styleId="Footer">
    <w:name w:val="footer"/>
    <w:basedOn w:val="Normal"/>
    <w:link w:val="FooterChar"/>
    <w:uiPriority w:val="99"/>
    <w:unhideWhenUsed/>
    <w:rsid w:val="00815EA6"/>
    <w:pPr>
      <w:tabs>
        <w:tab w:val="center" w:pos="4513"/>
        <w:tab w:val="right" w:pos="9026"/>
      </w:tabs>
    </w:pPr>
  </w:style>
  <w:style w:type="character" w:customStyle="1" w:styleId="FooterChar">
    <w:name w:val="Footer Char"/>
    <w:basedOn w:val="DefaultParagraphFont"/>
    <w:link w:val="Footer"/>
    <w:uiPriority w:val="99"/>
    <w:rsid w:val="00815EA6"/>
    <w:rPr>
      <w:rFonts w:ascii="Century Gothic" w:hAnsi="Century Gothic"/>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66110">
      <w:bodyDiv w:val="1"/>
      <w:marLeft w:val="0"/>
      <w:marRight w:val="0"/>
      <w:marTop w:val="0"/>
      <w:marBottom w:val="0"/>
      <w:divBdr>
        <w:top w:val="none" w:sz="0" w:space="0" w:color="auto"/>
        <w:left w:val="none" w:sz="0" w:space="0" w:color="auto"/>
        <w:bottom w:val="none" w:sz="0" w:space="0" w:color="auto"/>
        <w:right w:val="none" w:sz="0" w:space="0" w:color="auto"/>
      </w:divBdr>
    </w:div>
    <w:div w:id="1209150309">
      <w:bodyDiv w:val="1"/>
      <w:marLeft w:val="0"/>
      <w:marRight w:val="0"/>
      <w:marTop w:val="0"/>
      <w:marBottom w:val="0"/>
      <w:divBdr>
        <w:top w:val="none" w:sz="0" w:space="0" w:color="auto"/>
        <w:left w:val="none" w:sz="0" w:space="0" w:color="auto"/>
        <w:bottom w:val="none" w:sz="0" w:space="0" w:color="auto"/>
        <w:right w:val="none" w:sz="0" w:space="0" w:color="auto"/>
      </w:divBdr>
    </w:div>
    <w:div w:id="17255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pping.unfpa.dk/supots" TargetMode="External"/><Relationship Id="rId18" Type="http://schemas.openxmlformats.org/officeDocument/2006/relationships/hyperlink" Target="mailto:procurement@unfpa.org" TargetMode="External"/><Relationship Id="rId3" Type="http://schemas.openxmlformats.org/officeDocument/2006/relationships/styles" Target="styles.xml"/><Relationship Id="rId21" Type="http://schemas.openxmlformats.org/officeDocument/2006/relationships/hyperlink" Target="http://web.worldbank.org/WBSITE/EXTERNAL/OPPORTUNITIES/EXTCORPPROCUREMENT/0,,contentMDK:22030810~pagePK:64147231~piPK:64147158~theSitePK:438017,00.html" TargetMode="External"/><Relationship Id="rId7" Type="http://schemas.openxmlformats.org/officeDocument/2006/relationships/footnotes" Target="footnotes.xml"/><Relationship Id="rId12" Type="http://schemas.openxmlformats.org/officeDocument/2006/relationships/hyperlink" Target="http://shipping.unfpa.dk/supots" TargetMode="External"/><Relationship Id="rId17" Type="http://schemas.openxmlformats.org/officeDocument/2006/relationships/hyperlink" Target="mailto:procurement@unfp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hyperlink" Target="http://web.worldbank.org/external/default/main?theSitePK=84266&amp;contentMDK=64069844&amp;menuPK=116730&amp;pagePK=64148989&amp;piPK=641489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easury.un.org/operationalrates/OperationalRates.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unstats.un.org/unsd/methods/m49/m49regin.htm" TargetMode="External"/><Relationship Id="rId10" Type="http://schemas.openxmlformats.org/officeDocument/2006/relationships/footer" Target="footer1.xml"/><Relationship Id="rId19" Type="http://schemas.openxmlformats.org/officeDocument/2006/relationships/hyperlink" Target="https://portal.myunfpa.org/c/document_library/get_file?uuid=4b007d2e-e532-4954-ad64-2a94dc0a329f&amp;groupId=926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ipping.unfpa.dk/supots" TargetMode="External"/><Relationship Id="rId22" Type="http://schemas.openxmlformats.org/officeDocument/2006/relationships/hyperlink" Target="mailto:procurement@u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D9FC-35D1-430C-80F6-D5BD836D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10167</Words>
  <Characters>57954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67986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dorian.guinot</dc:creator>
  <cp:lastModifiedBy>vinay.mandala</cp:lastModifiedBy>
  <cp:revision>2</cp:revision>
  <dcterms:created xsi:type="dcterms:W3CDTF">2014-01-22T12:05:00Z</dcterms:created>
  <dcterms:modified xsi:type="dcterms:W3CDTF">2014-01-22T12:05:00Z</dcterms:modified>
</cp:coreProperties>
</file>